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7D604" w14:textId="77777777" w:rsidR="00C75B1D" w:rsidRDefault="00C80912">
      <w:pPr>
        <w:ind w:left="4536" w:right="-540" w:firstLine="504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Contact: </w:t>
      </w:r>
      <w:r>
        <w:rPr>
          <w:rFonts w:ascii="Arial" w:hAnsi="Arial" w:cs="Arial"/>
          <w:sz w:val="20"/>
          <w:szCs w:val="20"/>
        </w:rPr>
        <w:t>Carola Cotronei</w:t>
      </w:r>
    </w:p>
    <w:p w14:paraId="1F4A5ACE" w14:textId="77777777" w:rsidR="00C75B1D" w:rsidRDefault="00C80912">
      <w:pPr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Goodyear Communications </w:t>
      </w:r>
    </w:p>
    <w:p w14:paraId="028A545A" w14:textId="77777777" w:rsidR="00C75B1D" w:rsidRDefault="00C80912">
      <w:pPr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GB"/>
        </w:rPr>
        <w:t>+32 470 835124</w:t>
      </w:r>
      <w:r>
        <w:rPr>
          <w:rFonts w:ascii="Arial" w:hAnsi="Arial" w:cs="Arial"/>
          <w:sz w:val="20"/>
          <w:szCs w:val="20"/>
          <w:lang w:eastAsia="en-GB"/>
        </w:rPr>
        <w:br/>
      </w:r>
      <w:r>
        <w:rPr>
          <w:rFonts w:ascii="Arial" w:hAnsi="Arial" w:cs="Arial"/>
          <w:sz w:val="20"/>
          <w:szCs w:val="20"/>
        </w:rPr>
        <w:t>carola_cotronei@goodyear.com</w:t>
      </w:r>
    </w:p>
    <w:p w14:paraId="0FD2A710" w14:textId="77777777" w:rsidR="00C75B1D" w:rsidRDefault="00C80912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PRESS RELEASE</w:t>
      </w:r>
    </w:p>
    <w:p w14:paraId="1F5FC44B" w14:textId="77777777" w:rsidR="00C75B1D" w:rsidRPr="00550489" w:rsidRDefault="00C75B1D">
      <w:pPr>
        <w:pStyle w:val="Default"/>
        <w:rPr>
          <w:sz w:val="12"/>
        </w:rPr>
      </w:pPr>
    </w:p>
    <w:p w14:paraId="59DE8C8F" w14:textId="77777777" w:rsidR="00132A73" w:rsidRPr="0097029D" w:rsidRDefault="00132A73" w:rsidP="002428C4">
      <w:pPr>
        <w:pStyle w:val="Title"/>
        <w:spacing w:after="80"/>
        <w:ind w:right="-6"/>
        <w:rPr>
          <w:color w:val="0055A4"/>
          <w:sz w:val="32"/>
          <w:szCs w:val="30"/>
          <w:lang w:val="en-US"/>
        </w:rPr>
      </w:pPr>
    </w:p>
    <w:p w14:paraId="1498C546" w14:textId="267B0E41" w:rsidR="00C75B1D" w:rsidRPr="0097029D" w:rsidRDefault="008822B2" w:rsidP="002428C4">
      <w:pPr>
        <w:pStyle w:val="Title"/>
        <w:spacing w:after="80"/>
        <w:ind w:right="-6"/>
        <w:rPr>
          <w:color w:val="0055A4"/>
          <w:sz w:val="32"/>
          <w:szCs w:val="30"/>
          <w:lang w:val="en-US"/>
        </w:rPr>
      </w:pPr>
      <w:r w:rsidRPr="0097029D">
        <w:rPr>
          <w:color w:val="0055A4"/>
          <w:sz w:val="32"/>
          <w:szCs w:val="30"/>
          <w:lang w:val="en-US"/>
        </w:rPr>
        <w:t xml:space="preserve">New </w:t>
      </w:r>
      <w:r w:rsidR="00574D1A" w:rsidRPr="0097029D">
        <w:rPr>
          <w:color w:val="0055A4"/>
          <w:sz w:val="32"/>
          <w:szCs w:val="30"/>
          <w:lang w:val="en-US"/>
        </w:rPr>
        <w:t>O</w:t>
      </w:r>
      <w:r w:rsidR="008422C4" w:rsidRPr="0097029D">
        <w:rPr>
          <w:color w:val="0055A4"/>
          <w:sz w:val="32"/>
          <w:szCs w:val="30"/>
          <w:lang w:val="en-US"/>
        </w:rPr>
        <w:t>MNITRAC</w:t>
      </w:r>
      <w:r w:rsidR="00574D1A" w:rsidRPr="0097029D">
        <w:rPr>
          <w:color w:val="0055A4"/>
          <w:sz w:val="32"/>
          <w:szCs w:val="30"/>
          <w:lang w:val="en-US"/>
        </w:rPr>
        <w:t xml:space="preserve"> Mixed Service </w:t>
      </w:r>
      <w:r w:rsidR="00DD09F9" w:rsidRPr="0097029D">
        <w:rPr>
          <w:color w:val="0055A4"/>
          <w:sz w:val="32"/>
          <w:szCs w:val="30"/>
          <w:lang w:val="en-US"/>
        </w:rPr>
        <w:t xml:space="preserve">Truck </w:t>
      </w:r>
      <w:proofErr w:type="spellStart"/>
      <w:r w:rsidR="008876E9" w:rsidRPr="0097029D">
        <w:rPr>
          <w:color w:val="0055A4"/>
          <w:sz w:val="32"/>
          <w:szCs w:val="30"/>
          <w:lang w:val="en-US"/>
        </w:rPr>
        <w:t>Ty</w:t>
      </w:r>
      <w:r w:rsidR="00DD09F9" w:rsidRPr="0097029D">
        <w:rPr>
          <w:color w:val="0055A4"/>
          <w:sz w:val="32"/>
          <w:szCs w:val="30"/>
          <w:lang w:val="en-US"/>
        </w:rPr>
        <w:t>re</w:t>
      </w:r>
      <w:proofErr w:type="spellEnd"/>
      <w:r w:rsidR="00DD09F9" w:rsidRPr="0097029D">
        <w:rPr>
          <w:color w:val="0055A4"/>
          <w:sz w:val="32"/>
          <w:szCs w:val="30"/>
          <w:lang w:val="en-US"/>
        </w:rPr>
        <w:t xml:space="preserve"> Range</w:t>
      </w:r>
      <w:r w:rsidRPr="0097029D">
        <w:rPr>
          <w:color w:val="0055A4"/>
          <w:sz w:val="32"/>
          <w:szCs w:val="30"/>
          <w:lang w:val="en-US"/>
        </w:rPr>
        <w:t xml:space="preserve"> </w:t>
      </w:r>
      <w:r w:rsidR="009527E4" w:rsidRPr="0097029D">
        <w:rPr>
          <w:color w:val="0055A4"/>
          <w:sz w:val="32"/>
          <w:szCs w:val="30"/>
          <w:lang w:val="en-US"/>
        </w:rPr>
        <w:br/>
      </w:r>
      <w:r w:rsidRPr="0097029D">
        <w:rPr>
          <w:color w:val="0055A4"/>
          <w:sz w:val="32"/>
          <w:szCs w:val="30"/>
          <w:lang w:val="en-US"/>
        </w:rPr>
        <w:t>from Goodyear</w:t>
      </w:r>
    </w:p>
    <w:p w14:paraId="5841835C" w14:textId="2ED11763" w:rsidR="007F24B1" w:rsidRPr="00132A73" w:rsidRDefault="00BD7E3F" w:rsidP="00132A73">
      <w:pPr>
        <w:pStyle w:val="Title"/>
        <w:spacing w:after="80"/>
        <w:ind w:right="-6"/>
        <w:rPr>
          <w:b w:val="0"/>
          <w:i/>
          <w:sz w:val="28"/>
        </w:rPr>
      </w:pPr>
      <w:bookmarkStart w:id="0" w:name="_Hlk529957059"/>
      <w:r>
        <w:rPr>
          <w:b w:val="0"/>
          <w:i/>
          <w:sz w:val="28"/>
        </w:rPr>
        <w:t>Greater robustness &amp; longer service life</w:t>
      </w:r>
      <w:bookmarkEnd w:id="0"/>
      <w:r w:rsidR="00DD4352">
        <w:rPr>
          <w:rStyle w:val="FootnoteReference"/>
          <w:b w:val="0"/>
          <w:i/>
          <w:sz w:val="28"/>
        </w:rPr>
        <w:footnoteReference w:id="1"/>
      </w:r>
      <w:r w:rsidR="00574D1A">
        <w:rPr>
          <w:b w:val="0"/>
          <w:i/>
          <w:sz w:val="28"/>
        </w:rPr>
        <w:t xml:space="preserve"> </w:t>
      </w:r>
      <w:r w:rsidR="00BD39F3">
        <w:rPr>
          <w:b w:val="0"/>
          <w:i/>
          <w:sz w:val="28"/>
        </w:rPr>
        <w:t>plus</w:t>
      </w:r>
      <w:r w:rsidR="00574D1A">
        <w:rPr>
          <w:b w:val="0"/>
          <w:i/>
          <w:sz w:val="28"/>
        </w:rPr>
        <w:t xml:space="preserve"> accidental damage</w:t>
      </w:r>
      <w:r w:rsidR="00625499">
        <w:rPr>
          <w:b w:val="0"/>
          <w:i/>
          <w:sz w:val="28"/>
        </w:rPr>
        <w:t xml:space="preserve"> and </w:t>
      </w:r>
      <w:proofErr w:type="spellStart"/>
      <w:r w:rsidR="00DD4352">
        <w:rPr>
          <w:b w:val="0"/>
          <w:i/>
          <w:sz w:val="28"/>
        </w:rPr>
        <w:t>retreading</w:t>
      </w:r>
      <w:proofErr w:type="spellEnd"/>
      <w:r w:rsidR="00574D1A" w:rsidRPr="00574D1A">
        <w:rPr>
          <w:b w:val="0"/>
          <w:i/>
          <w:sz w:val="28"/>
        </w:rPr>
        <w:t xml:space="preserve"> </w:t>
      </w:r>
      <w:r w:rsidR="00574D1A">
        <w:rPr>
          <w:b w:val="0"/>
          <w:i/>
          <w:sz w:val="28"/>
        </w:rPr>
        <w:t>guarantee</w:t>
      </w:r>
    </w:p>
    <w:p w14:paraId="64594BCB" w14:textId="77777777" w:rsidR="00574D1A" w:rsidRDefault="009527E4" w:rsidP="002428C4">
      <w:pPr>
        <w:pStyle w:val="Default"/>
        <w:spacing w:after="120" w:line="360" w:lineRule="auto"/>
        <w:jc w:val="both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Brussels</w:t>
      </w:r>
      <w:r w:rsidR="00C80912" w:rsidRPr="00574D1A">
        <w:rPr>
          <w:b/>
          <w:color w:val="00000A"/>
          <w:sz w:val="22"/>
          <w:szCs w:val="22"/>
        </w:rPr>
        <w:t xml:space="preserve">, </w:t>
      </w:r>
      <w:r w:rsidR="00560D3C">
        <w:rPr>
          <w:b/>
          <w:color w:val="00000A"/>
          <w:sz w:val="22"/>
          <w:szCs w:val="22"/>
        </w:rPr>
        <w:t>November 27</w:t>
      </w:r>
      <w:r w:rsidR="00C80912" w:rsidRPr="00574D1A">
        <w:rPr>
          <w:b/>
          <w:color w:val="00000A"/>
          <w:sz w:val="22"/>
          <w:szCs w:val="22"/>
        </w:rPr>
        <w:t>, 2018</w:t>
      </w:r>
      <w:r w:rsidR="00C80912" w:rsidRPr="00446624">
        <w:rPr>
          <w:color w:val="00000A"/>
          <w:sz w:val="22"/>
          <w:szCs w:val="22"/>
        </w:rPr>
        <w:t xml:space="preserve"> – </w:t>
      </w:r>
      <w:r w:rsidR="00574D1A">
        <w:rPr>
          <w:color w:val="00000A"/>
          <w:sz w:val="22"/>
          <w:szCs w:val="22"/>
        </w:rPr>
        <w:t xml:space="preserve">Goodyear is </w:t>
      </w:r>
      <w:r w:rsidR="004C3981">
        <w:rPr>
          <w:color w:val="00000A"/>
          <w:sz w:val="22"/>
          <w:szCs w:val="22"/>
        </w:rPr>
        <w:t>launching</w:t>
      </w:r>
      <w:r w:rsidR="00574D1A">
        <w:rPr>
          <w:color w:val="00000A"/>
          <w:sz w:val="22"/>
          <w:szCs w:val="22"/>
        </w:rPr>
        <w:t xml:space="preserve"> a </w:t>
      </w:r>
      <w:r w:rsidR="00E63BCF">
        <w:rPr>
          <w:color w:val="00000A"/>
          <w:sz w:val="22"/>
          <w:szCs w:val="22"/>
        </w:rPr>
        <w:t xml:space="preserve">brand new mixed service truck </w:t>
      </w:r>
      <w:proofErr w:type="spellStart"/>
      <w:r w:rsidR="00E63BCF">
        <w:rPr>
          <w:color w:val="00000A"/>
          <w:sz w:val="22"/>
          <w:szCs w:val="22"/>
        </w:rPr>
        <w:t>ty</w:t>
      </w:r>
      <w:r w:rsidR="00574D1A">
        <w:rPr>
          <w:color w:val="00000A"/>
          <w:sz w:val="22"/>
          <w:szCs w:val="22"/>
        </w:rPr>
        <w:t>re</w:t>
      </w:r>
      <w:proofErr w:type="spellEnd"/>
      <w:r w:rsidR="00574D1A">
        <w:rPr>
          <w:color w:val="00000A"/>
          <w:sz w:val="22"/>
          <w:szCs w:val="22"/>
        </w:rPr>
        <w:t xml:space="preserve"> range offering </w:t>
      </w:r>
      <w:r w:rsidR="007F24B1">
        <w:rPr>
          <w:color w:val="00000A"/>
          <w:sz w:val="22"/>
          <w:szCs w:val="22"/>
        </w:rPr>
        <w:t xml:space="preserve">optimal </w:t>
      </w:r>
      <w:r w:rsidR="00574D1A">
        <w:rPr>
          <w:color w:val="00000A"/>
          <w:sz w:val="22"/>
          <w:szCs w:val="22"/>
        </w:rPr>
        <w:t>damage resistance</w:t>
      </w:r>
      <w:r w:rsidR="00E63BCF">
        <w:rPr>
          <w:color w:val="00000A"/>
          <w:sz w:val="22"/>
          <w:szCs w:val="22"/>
        </w:rPr>
        <w:t xml:space="preserve"> and longer service life</w:t>
      </w:r>
      <w:r w:rsidR="00DD4352">
        <w:rPr>
          <w:color w:val="00000A"/>
          <w:sz w:val="22"/>
          <w:szCs w:val="22"/>
        </w:rPr>
        <w:t xml:space="preserve"> than previous Goodyear mixed service </w:t>
      </w:r>
      <w:proofErr w:type="spellStart"/>
      <w:r w:rsidR="00DD4352">
        <w:rPr>
          <w:color w:val="00000A"/>
          <w:sz w:val="22"/>
          <w:szCs w:val="22"/>
        </w:rPr>
        <w:t>tyres</w:t>
      </w:r>
      <w:proofErr w:type="spellEnd"/>
      <w:r w:rsidR="00574D1A">
        <w:rPr>
          <w:color w:val="00000A"/>
          <w:sz w:val="22"/>
          <w:szCs w:val="22"/>
        </w:rPr>
        <w:t xml:space="preserve"> </w:t>
      </w:r>
      <w:r w:rsidR="00E63BCF">
        <w:rPr>
          <w:color w:val="00000A"/>
          <w:sz w:val="22"/>
          <w:szCs w:val="22"/>
        </w:rPr>
        <w:t>plus a</w:t>
      </w:r>
      <w:r w:rsidR="00E616C6">
        <w:rPr>
          <w:color w:val="00000A"/>
          <w:sz w:val="22"/>
          <w:szCs w:val="22"/>
        </w:rPr>
        <w:t>n</w:t>
      </w:r>
      <w:r w:rsidR="00574D1A">
        <w:rPr>
          <w:color w:val="00000A"/>
          <w:sz w:val="22"/>
          <w:szCs w:val="22"/>
        </w:rPr>
        <w:t xml:space="preserve"> accidental damage </w:t>
      </w:r>
      <w:r w:rsidR="00BD39F3">
        <w:rPr>
          <w:color w:val="00000A"/>
          <w:sz w:val="22"/>
          <w:szCs w:val="22"/>
        </w:rPr>
        <w:t xml:space="preserve">and retreading </w:t>
      </w:r>
      <w:r w:rsidR="00574D1A">
        <w:rPr>
          <w:color w:val="00000A"/>
          <w:sz w:val="22"/>
          <w:szCs w:val="22"/>
        </w:rPr>
        <w:t xml:space="preserve">guarantee.  </w:t>
      </w:r>
      <w:r w:rsidR="00574D1A" w:rsidRPr="00574D1A">
        <w:rPr>
          <w:color w:val="00000A"/>
          <w:sz w:val="22"/>
          <w:szCs w:val="22"/>
        </w:rPr>
        <w:t xml:space="preserve">The </w:t>
      </w:r>
      <w:r w:rsidR="004E7529">
        <w:rPr>
          <w:color w:val="00000A"/>
          <w:sz w:val="22"/>
          <w:szCs w:val="22"/>
        </w:rPr>
        <w:t xml:space="preserve">new </w:t>
      </w:r>
      <w:r w:rsidR="00574D1A" w:rsidRPr="00574D1A">
        <w:rPr>
          <w:color w:val="00000A"/>
          <w:sz w:val="22"/>
          <w:szCs w:val="22"/>
        </w:rPr>
        <w:t xml:space="preserve">OMNITRAC range features </w:t>
      </w:r>
      <w:r w:rsidR="00BD39F3">
        <w:rPr>
          <w:color w:val="00000A"/>
          <w:sz w:val="22"/>
          <w:szCs w:val="22"/>
        </w:rPr>
        <w:t xml:space="preserve">new </w:t>
      </w:r>
      <w:proofErr w:type="spellStart"/>
      <w:r w:rsidR="000B1C5E">
        <w:rPr>
          <w:color w:val="00000A"/>
          <w:sz w:val="22"/>
          <w:szCs w:val="22"/>
        </w:rPr>
        <w:t>DuraShield</w:t>
      </w:r>
      <w:proofErr w:type="spellEnd"/>
      <w:r w:rsidR="000B1C5E">
        <w:rPr>
          <w:color w:val="00000A"/>
          <w:sz w:val="22"/>
          <w:szCs w:val="22"/>
        </w:rPr>
        <w:t xml:space="preserve"> </w:t>
      </w:r>
      <w:r w:rsidR="00DD09F9">
        <w:rPr>
          <w:color w:val="00000A"/>
          <w:sz w:val="22"/>
          <w:szCs w:val="22"/>
        </w:rPr>
        <w:t xml:space="preserve">technology </w:t>
      </w:r>
      <w:r w:rsidR="00574D1A" w:rsidRPr="00574D1A">
        <w:rPr>
          <w:color w:val="00000A"/>
          <w:sz w:val="22"/>
          <w:szCs w:val="22"/>
        </w:rPr>
        <w:t xml:space="preserve">and combines </w:t>
      </w:r>
      <w:r w:rsidR="007F24B1">
        <w:rPr>
          <w:color w:val="00000A"/>
          <w:sz w:val="22"/>
          <w:szCs w:val="22"/>
        </w:rPr>
        <w:t xml:space="preserve">excellent </w:t>
      </w:r>
      <w:r w:rsidR="00BD7E3F">
        <w:rPr>
          <w:color w:val="00000A"/>
          <w:sz w:val="22"/>
          <w:szCs w:val="22"/>
        </w:rPr>
        <w:t xml:space="preserve">robustness </w:t>
      </w:r>
      <w:r w:rsidR="00574D1A" w:rsidRPr="00574D1A">
        <w:rPr>
          <w:color w:val="00000A"/>
          <w:sz w:val="22"/>
          <w:szCs w:val="22"/>
        </w:rPr>
        <w:t xml:space="preserve">with enhanced </w:t>
      </w:r>
      <w:r w:rsidR="00DD09F9">
        <w:rPr>
          <w:color w:val="00000A"/>
          <w:sz w:val="22"/>
          <w:szCs w:val="22"/>
        </w:rPr>
        <w:t>performance</w:t>
      </w:r>
      <w:r w:rsidR="00574D1A" w:rsidRPr="00574D1A">
        <w:rPr>
          <w:color w:val="00000A"/>
          <w:sz w:val="22"/>
          <w:szCs w:val="22"/>
        </w:rPr>
        <w:t xml:space="preserve"> and </w:t>
      </w:r>
      <w:proofErr w:type="spellStart"/>
      <w:r w:rsidR="00574D1A" w:rsidRPr="00574D1A">
        <w:rPr>
          <w:color w:val="00000A"/>
          <w:sz w:val="22"/>
          <w:szCs w:val="22"/>
        </w:rPr>
        <w:t>retreadability</w:t>
      </w:r>
      <w:proofErr w:type="spellEnd"/>
      <w:r w:rsidR="00574D1A" w:rsidRPr="00574D1A">
        <w:rPr>
          <w:color w:val="00000A"/>
          <w:sz w:val="22"/>
          <w:szCs w:val="22"/>
        </w:rPr>
        <w:t xml:space="preserve">.  </w:t>
      </w:r>
    </w:p>
    <w:p w14:paraId="50BD8FC0" w14:textId="77777777" w:rsidR="009C35C3" w:rsidRDefault="00E63BCF" w:rsidP="00807AE1">
      <w:pPr>
        <w:pStyle w:val="Default"/>
        <w:spacing w:after="120"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The new </w:t>
      </w:r>
      <w:proofErr w:type="spellStart"/>
      <w:r>
        <w:rPr>
          <w:color w:val="00000A"/>
          <w:sz w:val="22"/>
          <w:szCs w:val="22"/>
        </w:rPr>
        <w:t>tyres</w:t>
      </w:r>
      <w:proofErr w:type="spellEnd"/>
      <w:r>
        <w:rPr>
          <w:color w:val="00000A"/>
          <w:sz w:val="22"/>
          <w:szCs w:val="22"/>
        </w:rPr>
        <w:t xml:space="preserve"> have been developed for veh</w:t>
      </w:r>
      <w:r w:rsidR="008422C4">
        <w:rPr>
          <w:color w:val="00000A"/>
          <w:sz w:val="22"/>
          <w:szCs w:val="22"/>
        </w:rPr>
        <w:t xml:space="preserve">icles </w:t>
      </w:r>
      <w:r w:rsidR="00BD7E3F">
        <w:rPr>
          <w:color w:val="00000A"/>
          <w:sz w:val="22"/>
          <w:szCs w:val="22"/>
        </w:rPr>
        <w:t>operating</w:t>
      </w:r>
      <w:r w:rsidR="00DD09F9">
        <w:rPr>
          <w:color w:val="00000A"/>
          <w:sz w:val="22"/>
          <w:szCs w:val="22"/>
        </w:rPr>
        <w:t xml:space="preserve"> </w:t>
      </w:r>
      <w:r w:rsidR="00807AE1" w:rsidRPr="00807AE1">
        <w:rPr>
          <w:color w:val="00000A"/>
          <w:sz w:val="22"/>
          <w:szCs w:val="22"/>
        </w:rPr>
        <w:t>in today’s mixed service application</w:t>
      </w:r>
      <w:r w:rsidR="00C2612D">
        <w:rPr>
          <w:color w:val="00000A"/>
          <w:sz w:val="22"/>
          <w:szCs w:val="22"/>
        </w:rPr>
        <w:t>s</w:t>
      </w:r>
      <w:r w:rsidR="00807AE1">
        <w:rPr>
          <w:color w:val="00000A"/>
          <w:sz w:val="22"/>
          <w:szCs w:val="22"/>
        </w:rPr>
        <w:t xml:space="preserve"> </w:t>
      </w:r>
      <w:r w:rsidR="00575308">
        <w:rPr>
          <w:color w:val="00000A"/>
          <w:sz w:val="22"/>
          <w:szCs w:val="22"/>
        </w:rPr>
        <w:t>where they</w:t>
      </w:r>
      <w:r w:rsidR="00807AE1">
        <w:rPr>
          <w:color w:val="00000A"/>
          <w:sz w:val="22"/>
          <w:szCs w:val="22"/>
        </w:rPr>
        <w:t xml:space="preserve"> </w:t>
      </w:r>
      <w:r w:rsidR="00807AE1" w:rsidRPr="00807AE1">
        <w:rPr>
          <w:color w:val="00000A"/>
          <w:sz w:val="22"/>
          <w:szCs w:val="22"/>
        </w:rPr>
        <w:t xml:space="preserve">face the difficult conditions of unpaved </w:t>
      </w:r>
      <w:r w:rsidR="00C2612D">
        <w:rPr>
          <w:color w:val="00000A"/>
          <w:sz w:val="22"/>
          <w:szCs w:val="22"/>
        </w:rPr>
        <w:t>sites</w:t>
      </w:r>
      <w:r w:rsidR="00807AE1" w:rsidRPr="00807AE1">
        <w:rPr>
          <w:color w:val="00000A"/>
          <w:sz w:val="22"/>
          <w:szCs w:val="22"/>
        </w:rPr>
        <w:t xml:space="preserve"> but predominantly operate on roads</w:t>
      </w:r>
      <w:r w:rsidR="00BD7E3F">
        <w:rPr>
          <w:color w:val="00000A"/>
          <w:sz w:val="22"/>
          <w:szCs w:val="22"/>
        </w:rPr>
        <w:t>.  These include</w:t>
      </w:r>
      <w:r>
        <w:rPr>
          <w:color w:val="00000A"/>
          <w:sz w:val="22"/>
          <w:szCs w:val="22"/>
        </w:rPr>
        <w:t xml:space="preserve"> tippers, cement mixers, concrete pumps and low loaders</w:t>
      </w:r>
      <w:r w:rsidR="00DD09F9">
        <w:rPr>
          <w:color w:val="00000A"/>
          <w:sz w:val="22"/>
          <w:szCs w:val="22"/>
        </w:rPr>
        <w:t xml:space="preserve"> operating in construction as well as </w:t>
      </w:r>
      <w:r w:rsidR="00E6623A">
        <w:rPr>
          <w:color w:val="00000A"/>
          <w:sz w:val="22"/>
          <w:szCs w:val="22"/>
        </w:rPr>
        <w:t>trucks</w:t>
      </w:r>
      <w:r w:rsidR="00DD09F9">
        <w:rPr>
          <w:color w:val="00000A"/>
          <w:sz w:val="22"/>
          <w:szCs w:val="22"/>
        </w:rPr>
        <w:t xml:space="preserve"> in waste, recycling, timber and agricultural industries</w:t>
      </w:r>
      <w:r w:rsidR="009C35C3">
        <w:rPr>
          <w:color w:val="00000A"/>
          <w:sz w:val="22"/>
          <w:szCs w:val="22"/>
        </w:rPr>
        <w:t>.</w:t>
      </w:r>
    </w:p>
    <w:p w14:paraId="13408CE6" w14:textId="77777777" w:rsidR="00C81DC3" w:rsidRDefault="00C81DC3" w:rsidP="002428C4">
      <w:pPr>
        <w:pStyle w:val="Default"/>
        <w:spacing w:after="120"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The </w:t>
      </w:r>
      <w:r w:rsidR="004E7529">
        <w:rPr>
          <w:color w:val="00000A"/>
          <w:sz w:val="22"/>
          <w:szCs w:val="22"/>
        </w:rPr>
        <w:t xml:space="preserve">new </w:t>
      </w:r>
      <w:r w:rsidR="00BD39F3">
        <w:rPr>
          <w:color w:val="00000A"/>
          <w:sz w:val="22"/>
          <w:szCs w:val="22"/>
        </w:rPr>
        <w:t>OMNITRAC</w:t>
      </w:r>
      <w:r>
        <w:rPr>
          <w:color w:val="00000A"/>
          <w:sz w:val="22"/>
          <w:szCs w:val="22"/>
        </w:rPr>
        <w:t xml:space="preserve"> range</w:t>
      </w:r>
      <w:r w:rsidR="00E63BCF">
        <w:rPr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comprises 10 sizes</w:t>
      </w:r>
      <w:r w:rsidR="009527E4">
        <w:rPr>
          <w:color w:val="00000A"/>
          <w:sz w:val="22"/>
          <w:szCs w:val="22"/>
        </w:rPr>
        <w:t xml:space="preserve"> (six </w:t>
      </w:r>
      <w:r w:rsidR="009527E4" w:rsidRPr="00574D1A">
        <w:rPr>
          <w:color w:val="00000A"/>
          <w:sz w:val="22"/>
          <w:szCs w:val="22"/>
        </w:rPr>
        <w:t xml:space="preserve">OMNITRAC </w:t>
      </w:r>
      <w:r w:rsidR="009527E4">
        <w:rPr>
          <w:color w:val="00000A"/>
          <w:sz w:val="22"/>
          <w:szCs w:val="22"/>
        </w:rPr>
        <w:t xml:space="preserve">S steer </w:t>
      </w:r>
      <w:proofErr w:type="spellStart"/>
      <w:r w:rsidR="009527E4">
        <w:rPr>
          <w:color w:val="00000A"/>
          <w:sz w:val="22"/>
          <w:szCs w:val="22"/>
        </w:rPr>
        <w:t>tyres</w:t>
      </w:r>
      <w:proofErr w:type="spellEnd"/>
      <w:r w:rsidR="009527E4">
        <w:rPr>
          <w:color w:val="00000A"/>
          <w:sz w:val="22"/>
          <w:szCs w:val="22"/>
        </w:rPr>
        <w:t xml:space="preserve"> and four </w:t>
      </w:r>
      <w:r w:rsidR="009527E4" w:rsidRPr="00574D1A">
        <w:rPr>
          <w:color w:val="00000A"/>
          <w:sz w:val="22"/>
          <w:szCs w:val="22"/>
        </w:rPr>
        <w:t xml:space="preserve">OMNITRAC </w:t>
      </w:r>
      <w:r w:rsidR="009527E4">
        <w:rPr>
          <w:color w:val="00000A"/>
          <w:sz w:val="22"/>
          <w:szCs w:val="22"/>
        </w:rPr>
        <w:t xml:space="preserve">D drive </w:t>
      </w:r>
      <w:proofErr w:type="spellStart"/>
      <w:r w:rsidR="009527E4">
        <w:rPr>
          <w:color w:val="00000A"/>
          <w:sz w:val="22"/>
          <w:szCs w:val="22"/>
        </w:rPr>
        <w:t>tyres</w:t>
      </w:r>
      <w:proofErr w:type="spellEnd"/>
      <w:r w:rsidR="009527E4">
        <w:rPr>
          <w:color w:val="00000A"/>
          <w:sz w:val="22"/>
          <w:szCs w:val="22"/>
        </w:rPr>
        <w:t>)</w:t>
      </w:r>
      <w:r>
        <w:rPr>
          <w:color w:val="00000A"/>
          <w:sz w:val="22"/>
          <w:szCs w:val="22"/>
        </w:rPr>
        <w:t xml:space="preserve">, including one new to the </w:t>
      </w:r>
      <w:r w:rsidR="009527E4">
        <w:rPr>
          <w:color w:val="00000A"/>
          <w:sz w:val="22"/>
          <w:szCs w:val="22"/>
        </w:rPr>
        <w:t>mixed</w:t>
      </w:r>
      <w:r w:rsidR="000F3CB6">
        <w:rPr>
          <w:color w:val="00000A"/>
          <w:sz w:val="22"/>
          <w:szCs w:val="22"/>
        </w:rPr>
        <w:t xml:space="preserve"> </w:t>
      </w:r>
      <w:r w:rsidR="009527E4">
        <w:rPr>
          <w:color w:val="00000A"/>
          <w:sz w:val="22"/>
          <w:szCs w:val="22"/>
        </w:rPr>
        <w:t xml:space="preserve">service </w:t>
      </w:r>
      <w:r>
        <w:rPr>
          <w:color w:val="00000A"/>
          <w:sz w:val="22"/>
          <w:szCs w:val="22"/>
        </w:rPr>
        <w:t xml:space="preserve">industry. </w:t>
      </w:r>
      <w:r w:rsidR="006A6B09">
        <w:rPr>
          <w:color w:val="00000A"/>
          <w:sz w:val="22"/>
          <w:szCs w:val="22"/>
        </w:rPr>
        <w:t>This</w:t>
      </w:r>
      <w:r>
        <w:rPr>
          <w:color w:val="00000A"/>
          <w:sz w:val="22"/>
          <w:szCs w:val="22"/>
        </w:rPr>
        <w:t xml:space="preserve"> </w:t>
      </w:r>
      <w:r w:rsidR="00041CF3">
        <w:rPr>
          <w:color w:val="00000A"/>
          <w:sz w:val="22"/>
          <w:szCs w:val="22"/>
        </w:rPr>
        <w:t xml:space="preserve">315/70R22.5 </w:t>
      </w:r>
      <w:r>
        <w:rPr>
          <w:color w:val="00000A"/>
          <w:sz w:val="22"/>
          <w:szCs w:val="22"/>
        </w:rPr>
        <w:t xml:space="preserve">size </w:t>
      </w:r>
      <w:r w:rsidR="00C2612D">
        <w:rPr>
          <w:color w:val="00000A"/>
          <w:sz w:val="22"/>
          <w:szCs w:val="22"/>
        </w:rPr>
        <w:t>covers</w:t>
      </w:r>
      <w:r w:rsidR="00E1710E" w:rsidRPr="00E1710E">
        <w:rPr>
          <w:color w:val="00000A"/>
          <w:sz w:val="22"/>
          <w:szCs w:val="22"/>
        </w:rPr>
        <w:t xml:space="preserve"> the growing trend </w:t>
      </w:r>
      <w:r w:rsidR="00C2612D">
        <w:rPr>
          <w:color w:val="00000A"/>
          <w:sz w:val="22"/>
          <w:szCs w:val="22"/>
        </w:rPr>
        <w:t>for the</w:t>
      </w:r>
      <w:r w:rsidR="00E1710E">
        <w:rPr>
          <w:color w:val="00000A"/>
          <w:sz w:val="22"/>
          <w:szCs w:val="22"/>
        </w:rPr>
        <w:t xml:space="preserve"> use</w:t>
      </w:r>
      <w:r w:rsidR="00E1710E" w:rsidRPr="00E1710E">
        <w:rPr>
          <w:color w:val="00000A"/>
          <w:sz w:val="22"/>
          <w:szCs w:val="22"/>
        </w:rPr>
        <w:t xml:space="preserve"> of standard </w:t>
      </w:r>
      <w:r w:rsidR="00E1710E">
        <w:rPr>
          <w:color w:val="00000A"/>
          <w:sz w:val="22"/>
          <w:szCs w:val="22"/>
        </w:rPr>
        <w:t xml:space="preserve">tractors in </w:t>
      </w:r>
      <w:r w:rsidR="006A6B09">
        <w:rPr>
          <w:color w:val="00000A"/>
          <w:sz w:val="22"/>
          <w:szCs w:val="22"/>
        </w:rPr>
        <w:t>this market sector</w:t>
      </w:r>
      <w:r w:rsidR="00E1710E">
        <w:rPr>
          <w:color w:val="00000A"/>
          <w:sz w:val="22"/>
          <w:szCs w:val="22"/>
        </w:rPr>
        <w:t>.</w:t>
      </w:r>
    </w:p>
    <w:p w14:paraId="2E6A065C" w14:textId="77777777" w:rsidR="00BD39F3" w:rsidRDefault="000B1C5E" w:rsidP="002428C4">
      <w:pPr>
        <w:pStyle w:val="Default"/>
        <w:spacing w:after="120" w:line="360" w:lineRule="auto"/>
        <w:jc w:val="both"/>
        <w:rPr>
          <w:color w:val="00000A"/>
          <w:sz w:val="22"/>
          <w:szCs w:val="22"/>
        </w:rPr>
      </w:pPr>
      <w:proofErr w:type="spellStart"/>
      <w:r>
        <w:rPr>
          <w:color w:val="00000A"/>
          <w:sz w:val="22"/>
          <w:szCs w:val="22"/>
        </w:rPr>
        <w:t>DuraShield</w:t>
      </w:r>
      <w:proofErr w:type="spellEnd"/>
      <w:r w:rsidR="00041CF3">
        <w:rPr>
          <w:color w:val="00000A"/>
          <w:sz w:val="22"/>
          <w:szCs w:val="22"/>
        </w:rPr>
        <w:t xml:space="preserve"> is a new Goodyear</w:t>
      </w:r>
      <w:r>
        <w:rPr>
          <w:color w:val="00000A"/>
          <w:sz w:val="22"/>
          <w:szCs w:val="22"/>
        </w:rPr>
        <w:t xml:space="preserve"> </w:t>
      </w:r>
      <w:r w:rsidR="00574D1A" w:rsidRPr="00574D1A">
        <w:rPr>
          <w:color w:val="00000A"/>
          <w:sz w:val="22"/>
          <w:szCs w:val="22"/>
        </w:rPr>
        <w:t xml:space="preserve">technology </w:t>
      </w:r>
      <w:r w:rsidR="00E6623A">
        <w:rPr>
          <w:color w:val="00000A"/>
          <w:sz w:val="22"/>
          <w:szCs w:val="22"/>
        </w:rPr>
        <w:t>featuring</w:t>
      </w:r>
      <w:r w:rsidR="00574D1A" w:rsidRPr="00574D1A">
        <w:rPr>
          <w:color w:val="00000A"/>
          <w:sz w:val="22"/>
          <w:szCs w:val="22"/>
        </w:rPr>
        <w:t xml:space="preserve"> an exclusive top belt</w:t>
      </w:r>
      <w:r w:rsidR="006766DA">
        <w:rPr>
          <w:color w:val="00000A"/>
          <w:sz w:val="22"/>
          <w:szCs w:val="22"/>
        </w:rPr>
        <w:t xml:space="preserve"> </w:t>
      </w:r>
      <w:r w:rsidR="00574D1A" w:rsidRPr="00574D1A">
        <w:rPr>
          <w:color w:val="00000A"/>
          <w:sz w:val="22"/>
          <w:szCs w:val="22"/>
        </w:rPr>
        <w:t>for ext</w:t>
      </w:r>
      <w:r w:rsidR="00BD7E3F">
        <w:rPr>
          <w:color w:val="00000A"/>
          <w:sz w:val="22"/>
          <w:szCs w:val="22"/>
        </w:rPr>
        <w:t xml:space="preserve">ra resistance to casing damage </w:t>
      </w:r>
      <w:r w:rsidR="00B552AA">
        <w:rPr>
          <w:color w:val="00000A"/>
          <w:sz w:val="22"/>
          <w:szCs w:val="22"/>
        </w:rPr>
        <w:t xml:space="preserve">which also </w:t>
      </w:r>
      <w:r w:rsidR="00574D1A" w:rsidRPr="00574D1A">
        <w:rPr>
          <w:color w:val="00000A"/>
          <w:sz w:val="22"/>
          <w:szCs w:val="22"/>
        </w:rPr>
        <w:t>improv</w:t>
      </w:r>
      <w:r w:rsidR="00B552AA">
        <w:rPr>
          <w:color w:val="00000A"/>
          <w:sz w:val="22"/>
          <w:szCs w:val="22"/>
        </w:rPr>
        <w:t>es</w:t>
      </w:r>
      <w:r w:rsidR="00574D1A" w:rsidRPr="00574D1A">
        <w:rPr>
          <w:color w:val="00000A"/>
          <w:sz w:val="22"/>
          <w:szCs w:val="22"/>
        </w:rPr>
        <w:t xml:space="preserve"> </w:t>
      </w:r>
      <w:proofErr w:type="spellStart"/>
      <w:r w:rsidR="00574D1A" w:rsidRPr="00574D1A">
        <w:rPr>
          <w:color w:val="00000A"/>
          <w:sz w:val="22"/>
          <w:szCs w:val="22"/>
        </w:rPr>
        <w:t>retreadability</w:t>
      </w:r>
      <w:proofErr w:type="spellEnd"/>
      <w:r w:rsidR="00FF0BC3">
        <w:rPr>
          <w:color w:val="00000A"/>
          <w:sz w:val="22"/>
          <w:szCs w:val="22"/>
        </w:rPr>
        <w:t xml:space="preserve">.  </w:t>
      </w:r>
      <w:r w:rsidR="004E7529">
        <w:rPr>
          <w:color w:val="00000A"/>
          <w:sz w:val="22"/>
          <w:szCs w:val="22"/>
        </w:rPr>
        <w:t xml:space="preserve">The new OMNITRAC range </w:t>
      </w:r>
      <w:r w:rsidR="00FF0BC3">
        <w:rPr>
          <w:color w:val="00000A"/>
          <w:sz w:val="22"/>
          <w:szCs w:val="22"/>
        </w:rPr>
        <w:t>offe</w:t>
      </w:r>
      <w:r w:rsidR="00BD7E3F">
        <w:rPr>
          <w:color w:val="00000A"/>
          <w:sz w:val="22"/>
          <w:szCs w:val="22"/>
        </w:rPr>
        <w:t>r</w:t>
      </w:r>
      <w:r w:rsidR="004E7529">
        <w:rPr>
          <w:color w:val="00000A"/>
          <w:sz w:val="22"/>
          <w:szCs w:val="22"/>
        </w:rPr>
        <w:t>s</w:t>
      </w:r>
      <w:r w:rsidR="00BD7E3F">
        <w:rPr>
          <w:color w:val="00000A"/>
          <w:sz w:val="22"/>
          <w:szCs w:val="22"/>
        </w:rPr>
        <w:t xml:space="preserve"> improved service life</w:t>
      </w:r>
      <w:r w:rsidR="00F920E7" w:rsidRPr="00F920E7">
        <w:rPr>
          <w:color w:val="00000A"/>
          <w:sz w:val="22"/>
          <w:szCs w:val="22"/>
          <w:vertAlign w:val="superscript"/>
        </w:rPr>
        <w:t>1</w:t>
      </w:r>
      <w:r w:rsidR="00BD7E3F">
        <w:rPr>
          <w:color w:val="00000A"/>
          <w:sz w:val="22"/>
          <w:szCs w:val="22"/>
        </w:rPr>
        <w:t xml:space="preserve"> </w:t>
      </w:r>
      <w:r w:rsidR="00A12EC9">
        <w:rPr>
          <w:color w:val="00000A"/>
          <w:sz w:val="22"/>
          <w:szCs w:val="22"/>
        </w:rPr>
        <w:t xml:space="preserve">and </w:t>
      </w:r>
      <w:r w:rsidR="00FF0BC3">
        <w:rPr>
          <w:color w:val="00000A"/>
          <w:sz w:val="22"/>
          <w:szCs w:val="22"/>
        </w:rPr>
        <w:t xml:space="preserve">full </w:t>
      </w:r>
      <w:r w:rsidR="00574D1A" w:rsidRPr="00574D1A">
        <w:rPr>
          <w:color w:val="00000A"/>
          <w:sz w:val="22"/>
          <w:szCs w:val="22"/>
        </w:rPr>
        <w:t xml:space="preserve">3PMSF compliance </w:t>
      </w:r>
      <w:r w:rsidR="00FF0BC3">
        <w:rPr>
          <w:color w:val="00000A"/>
          <w:sz w:val="22"/>
          <w:szCs w:val="22"/>
        </w:rPr>
        <w:t xml:space="preserve">to meet </w:t>
      </w:r>
      <w:r w:rsidR="00BD39F3">
        <w:rPr>
          <w:color w:val="00000A"/>
          <w:sz w:val="22"/>
          <w:szCs w:val="22"/>
        </w:rPr>
        <w:t xml:space="preserve">ever </w:t>
      </w:r>
      <w:r w:rsidR="00407950">
        <w:rPr>
          <w:color w:val="00000A"/>
          <w:sz w:val="22"/>
          <w:szCs w:val="22"/>
        </w:rPr>
        <w:t xml:space="preserve">tougher </w:t>
      </w:r>
      <w:r w:rsidR="00FF0BC3">
        <w:rPr>
          <w:color w:val="00000A"/>
          <w:sz w:val="22"/>
          <w:szCs w:val="22"/>
        </w:rPr>
        <w:t xml:space="preserve">winter </w:t>
      </w:r>
      <w:proofErr w:type="spellStart"/>
      <w:r w:rsidR="00407950">
        <w:rPr>
          <w:color w:val="00000A"/>
          <w:sz w:val="22"/>
          <w:szCs w:val="22"/>
        </w:rPr>
        <w:t>tyre</w:t>
      </w:r>
      <w:proofErr w:type="spellEnd"/>
      <w:r w:rsidR="00FF0BC3">
        <w:rPr>
          <w:color w:val="00000A"/>
          <w:sz w:val="22"/>
          <w:szCs w:val="22"/>
        </w:rPr>
        <w:t xml:space="preserve"> requirements.</w:t>
      </w:r>
      <w:r w:rsidR="00A12EC9">
        <w:rPr>
          <w:color w:val="00000A"/>
          <w:sz w:val="22"/>
          <w:szCs w:val="22"/>
        </w:rPr>
        <w:t xml:space="preserve">  </w:t>
      </w:r>
    </w:p>
    <w:p w14:paraId="14C34124" w14:textId="6135C186" w:rsidR="00574D1A" w:rsidRPr="00574D1A" w:rsidRDefault="008422C4" w:rsidP="002428C4">
      <w:pPr>
        <w:pStyle w:val="Default"/>
        <w:spacing w:after="120"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A further feature </w:t>
      </w:r>
      <w:r w:rsidR="00BD39F3">
        <w:rPr>
          <w:color w:val="00000A"/>
          <w:sz w:val="22"/>
          <w:szCs w:val="22"/>
        </w:rPr>
        <w:t xml:space="preserve">of the </w:t>
      </w:r>
      <w:proofErr w:type="spellStart"/>
      <w:r w:rsidR="00BD39F3">
        <w:rPr>
          <w:color w:val="00000A"/>
          <w:sz w:val="22"/>
          <w:szCs w:val="22"/>
        </w:rPr>
        <w:t>tyres</w:t>
      </w:r>
      <w:proofErr w:type="spellEnd"/>
      <w:r w:rsidR="00BD39F3">
        <w:rPr>
          <w:color w:val="00000A"/>
          <w:sz w:val="22"/>
          <w:szCs w:val="22"/>
        </w:rPr>
        <w:t xml:space="preserve"> is</w:t>
      </w:r>
      <w:r>
        <w:rPr>
          <w:color w:val="00000A"/>
          <w:sz w:val="22"/>
          <w:szCs w:val="22"/>
        </w:rPr>
        <w:t xml:space="preserve"> the integration of radio frequency identification (RFID) allowing</w:t>
      </w:r>
      <w:r w:rsidRPr="00E24B50">
        <w:rPr>
          <w:color w:val="00000A"/>
          <w:sz w:val="22"/>
          <w:szCs w:val="22"/>
        </w:rPr>
        <w:t xml:space="preserve"> simple identification and connectivity to </w:t>
      </w:r>
      <w:proofErr w:type="spellStart"/>
      <w:r w:rsidRPr="00E24B50">
        <w:rPr>
          <w:color w:val="00000A"/>
          <w:sz w:val="22"/>
          <w:szCs w:val="22"/>
        </w:rPr>
        <w:t>tyre</w:t>
      </w:r>
      <w:proofErr w:type="spellEnd"/>
      <w:r w:rsidRPr="00E24B50">
        <w:rPr>
          <w:color w:val="00000A"/>
          <w:sz w:val="22"/>
          <w:szCs w:val="22"/>
        </w:rPr>
        <w:t xml:space="preserve"> management and tracking systems</w:t>
      </w:r>
      <w:r>
        <w:rPr>
          <w:color w:val="00000A"/>
          <w:sz w:val="22"/>
          <w:szCs w:val="22"/>
        </w:rPr>
        <w:t>.</w:t>
      </w:r>
      <w:r w:rsidRPr="00E24B50">
        <w:rPr>
          <w:color w:val="00000A"/>
          <w:sz w:val="22"/>
          <w:szCs w:val="22"/>
        </w:rPr>
        <w:t xml:space="preserve"> </w:t>
      </w:r>
      <w:r w:rsidR="00C81DC3">
        <w:rPr>
          <w:color w:val="00000A"/>
          <w:sz w:val="22"/>
          <w:szCs w:val="22"/>
        </w:rPr>
        <w:t xml:space="preserve">The </w:t>
      </w:r>
      <w:r w:rsidR="00574D1A" w:rsidRPr="00574D1A">
        <w:rPr>
          <w:color w:val="00000A"/>
          <w:sz w:val="22"/>
          <w:szCs w:val="22"/>
        </w:rPr>
        <w:t xml:space="preserve">Goodyear </w:t>
      </w:r>
      <w:r w:rsidR="00041CF3" w:rsidRPr="00574D1A">
        <w:rPr>
          <w:color w:val="00000A"/>
          <w:sz w:val="22"/>
          <w:szCs w:val="22"/>
        </w:rPr>
        <w:t xml:space="preserve">OMNITRAC </w:t>
      </w:r>
      <w:r w:rsidR="00574D1A" w:rsidRPr="00574D1A">
        <w:rPr>
          <w:color w:val="00000A"/>
          <w:sz w:val="22"/>
          <w:szCs w:val="22"/>
        </w:rPr>
        <w:t>guarantee</w:t>
      </w:r>
      <w:r w:rsidR="00C81DC3">
        <w:rPr>
          <w:rStyle w:val="FootnoteReference"/>
          <w:color w:val="00000A"/>
          <w:sz w:val="22"/>
          <w:szCs w:val="22"/>
        </w:rPr>
        <w:footnoteReference w:id="2"/>
      </w:r>
      <w:r w:rsidR="00C81DC3" w:rsidRPr="00C81DC3">
        <w:rPr>
          <w:color w:val="00000A"/>
          <w:sz w:val="22"/>
          <w:szCs w:val="22"/>
        </w:rPr>
        <w:t xml:space="preserve"> </w:t>
      </w:r>
      <w:r w:rsidR="006A6B09">
        <w:rPr>
          <w:color w:val="00000A"/>
          <w:sz w:val="22"/>
          <w:szCs w:val="22"/>
        </w:rPr>
        <w:t>gives</w:t>
      </w:r>
      <w:r w:rsidR="00807AE1">
        <w:rPr>
          <w:color w:val="00000A"/>
          <w:sz w:val="22"/>
          <w:szCs w:val="22"/>
        </w:rPr>
        <w:t xml:space="preserve"> fleets extra peace of mind </w:t>
      </w:r>
      <w:r w:rsidR="00C81DC3" w:rsidRPr="00C81DC3">
        <w:rPr>
          <w:color w:val="00000A"/>
          <w:sz w:val="22"/>
          <w:szCs w:val="22"/>
        </w:rPr>
        <w:t>cover</w:t>
      </w:r>
      <w:r w:rsidR="00807AE1">
        <w:rPr>
          <w:color w:val="00000A"/>
          <w:sz w:val="22"/>
          <w:szCs w:val="22"/>
        </w:rPr>
        <w:t>ing</w:t>
      </w:r>
      <w:r w:rsidR="00C81DC3" w:rsidRPr="00C81DC3">
        <w:rPr>
          <w:color w:val="00000A"/>
          <w:sz w:val="22"/>
          <w:szCs w:val="22"/>
        </w:rPr>
        <w:t xml:space="preserve"> accidental impact damage that renders a registered </w:t>
      </w:r>
      <w:proofErr w:type="spellStart"/>
      <w:r w:rsidR="00C81DC3" w:rsidRPr="00C81DC3">
        <w:rPr>
          <w:color w:val="00000A"/>
          <w:sz w:val="22"/>
          <w:szCs w:val="22"/>
        </w:rPr>
        <w:t>tyre</w:t>
      </w:r>
      <w:proofErr w:type="spellEnd"/>
      <w:r w:rsidR="00C81DC3" w:rsidRPr="00C81DC3">
        <w:rPr>
          <w:color w:val="00000A"/>
          <w:sz w:val="22"/>
          <w:szCs w:val="22"/>
        </w:rPr>
        <w:t xml:space="preserve"> </w:t>
      </w:r>
      <w:r w:rsidR="00807AE1">
        <w:rPr>
          <w:color w:val="00000A"/>
          <w:sz w:val="22"/>
          <w:szCs w:val="22"/>
        </w:rPr>
        <w:t xml:space="preserve">unrepairable and </w:t>
      </w:r>
      <w:r w:rsidR="00C81DC3" w:rsidRPr="00C81DC3">
        <w:rPr>
          <w:color w:val="00000A"/>
          <w:sz w:val="22"/>
          <w:szCs w:val="22"/>
        </w:rPr>
        <w:t xml:space="preserve">unusable.  </w:t>
      </w:r>
      <w:r w:rsidR="00BD39F3">
        <w:rPr>
          <w:color w:val="00000A"/>
          <w:sz w:val="22"/>
          <w:szCs w:val="22"/>
        </w:rPr>
        <w:t xml:space="preserve">It </w:t>
      </w:r>
      <w:r w:rsidR="007D489F">
        <w:rPr>
          <w:color w:val="00000A"/>
          <w:sz w:val="22"/>
          <w:szCs w:val="22"/>
        </w:rPr>
        <w:t xml:space="preserve">also </w:t>
      </w:r>
      <w:r w:rsidR="00BD39F3">
        <w:rPr>
          <w:color w:val="00000A"/>
          <w:sz w:val="22"/>
          <w:szCs w:val="22"/>
        </w:rPr>
        <w:t>guarantees</w:t>
      </w:r>
      <w:r w:rsidR="007D489F">
        <w:rPr>
          <w:color w:val="00000A"/>
          <w:sz w:val="22"/>
          <w:szCs w:val="22"/>
        </w:rPr>
        <w:t xml:space="preserve"> the additional</w:t>
      </w:r>
      <w:r w:rsidR="00BD39F3">
        <w:rPr>
          <w:color w:val="00000A"/>
          <w:sz w:val="22"/>
          <w:szCs w:val="22"/>
        </w:rPr>
        <w:t xml:space="preserve"> </w:t>
      </w:r>
      <w:r w:rsidR="00155B62">
        <w:rPr>
          <w:color w:val="00000A"/>
          <w:sz w:val="22"/>
          <w:szCs w:val="22"/>
        </w:rPr>
        <w:t>100% casing acceptance</w:t>
      </w:r>
      <w:r w:rsidR="007D489F">
        <w:rPr>
          <w:color w:val="00000A"/>
          <w:sz w:val="22"/>
          <w:szCs w:val="22"/>
        </w:rPr>
        <w:t xml:space="preserve"> guarantee</w:t>
      </w:r>
      <w:r w:rsidR="00740A72">
        <w:rPr>
          <w:rStyle w:val="FootnoteReference"/>
          <w:color w:val="00000A"/>
          <w:sz w:val="22"/>
          <w:szCs w:val="22"/>
        </w:rPr>
        <w:footnoteReference w:id="3"/>
      </w:r>
      <w:r w:rsidR="00BD39F3">
        <w:rPr>
          <w:color w:val="00000A"/>
          <w:sz w:val="22"/>
          <w:szCs w:val="22"/>
        </w:rPr>
        <w:t>.</w:t>
      </w:r>
    </w:p>
    <w:p w14:paraId="21A6CCEF" w14:textId="77777777" w:rsidR="002428C4" w:rsidRDefault="00407950" w:rsidP="00040178">
      <w:pPr>
        <w:pStyle w:val="Default"/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“Today’s </w:t>
      </w:r>
      <w:r w:rsidR="00E63BCF">
        <w:rPr>
          <w:i/>
          <w:sz w:val="22"/>
          <w:szCs w:val="22"/>
        </w:rPr>
        <w:t xml:space="preserve">mixed service </w:t>
      </w:r>
      <w:r>
        <w:rPr>
          <w:i/>
          <w:sz w:val="22"/>
          <w:szCs w:val="22"/>
        </w:rPr>
        <w:t>fleet operators are demanding</w:t>
      </w:r>
      <w:r w:rsidR="00E63BCF">
        <w:rPr>
          <w:i/>
          <w:sz w:val="22"/>
          <w:szCs w:val="22"/>
        </w:rPr>
        <w:t xml:space="preserve"> </w:t>
      </w:r>
      <w:proofErr w:type="spellStart"/>
      <w:r w:rsidR="00E63BCF">
        <w:rPr>
          <w:i/>
          <w:sz w:val="22"/>
          <w:szCs w:val="22"/>
        </w:rPr>
        <w:t>tyres</w:t>
      </w:r>
      <w:proofErr w:type="spellEnd"/>
      <w:r w:rsidR="00E63BCF">
        <w:rPr>
          <w:i/>
          <w:sz w:val="22"/>
          <w:szCs w:val="22"/>
        </w:rPr>
        <w:t xml:space="preserve"> that offer </w:t>
      </w:r>
      <w:r>
        <w:rPr>
          <w:i/>
          <w:sz w:val="22"/>
          <w:szCs w:val="22"/>
        </w:rPr>
        <w:t>both versatile</w:t>
      </w:r>
      <w:r w:rsidR="00E63BCF">
        <w:rPr>
          <w:i/>
          <w:sz w:val="22"/>
          <w:szCs w:val="22"/>
        </w:rPr>
        <w:t xml:space="preserve"> on-road capability </w:t>
      </w:r>
      <w:r>
        <w:rPr>
          <w:i/>
          <w:sz w:val="22"/>
          <w:szCs w:val="22"/>
        </w:rPr>
        <w:t>and</w:t>
      </w:r>
      <w:r w:rsidR="00E63BCF">
        <w:rPr>
          <w:i/>
          <w:sz w:val="22"/>
          <w:szCs w:val="22"/>
        </w:rPr>
        <w:t xml:space="preserve"> greater resistance to the conditions encountered</w:t>
      </w:r>
      <w:r>
        <w:rPr>
          <w:i/>
          <w:sz w:val="22"/>
          <w:szCs w:val="22"/>
        </w:rPr>
        <w:t xml:space="preserve"> </w:t>
      </w:r>
      <w:r w:rsidR="009737AE">
        <w:rPr>
          <w:i/>
          <w:sz w:val="22"/>
          <w:szCs w:val="22"/>
        </w:rPr>
        <w:t xml:space="preserve">both on- and </w:t>
      </w:r>
      <w:r>
        <w:rPr>
          <w:i/>
          <w:sz w:val="22"/>
          <w:szCs w:val="22"/>
        </w:rPr>
        <w:t>off-road</w:t>
      </w:r>
      <w:r w:rsidR="00C81DC3">
        <w:rPr>
          <w:i/>
          <w:sz w:val="22"/>
          <w:szCs w:val="22"/>
        </w:rPr>
        <w:t>,</w:t>
      </w:r>
      <w:r w:rsidR="00A66093">
        <w:rPr>
          <w:i/>
          <w:sz w:val="22"/>
          <w:szCs w:val="22"/>
        </w:rPr>
        <w:t>”</w:t>
      </w:r>
      <w:r w:rsidR="00A66093">
        <w:rPr>
          <w:i/>
          <w:color w:val="FF0000"/>
          <w:sz w:val="22"/>
          <w:szCs w:val="22"/>
        </w:rPr>
        <w:t xml:space="preserve"> </w:t>
      </w:r>
      <w:r w:rsidR="00A66093">
        <w:rPr>
          <w:sz w:val="22"/>
          <w:szCs w:val="22"/>
        </w:rPr>
        <w:t xml:space="preserve">said Benjamin Willot, Director Marketing Commercial Tires Europe at Goodyear.  </w:t>
      </w:r>
      <w:r w:rsidR="00A66093" w:rsidRPr="006A31C8">
        <w:rPr>
          <w:i/>
          <w:sz w:val="22"/>
          <w:szCs w:val="22"/>
        </w:rPr>
        <w:t>“</w:t>
      </w:r>
      <w:r w:rsidR="00C81DC3">
        <w:rPr>
          <w:i/>
          <w:sz w:val="22"/>
          <w:szCs w:val="22"/>
        </w:rPr>
        <w:t xml:space="preserve">Our new OMNITRAC </w:t>
      </w:r>
      <w:proofErr w:type="spellStart"/>
      <w:r w:rsidR="00C81DC3">
        <w:rPr>
          <w:i/>
          <w:sz w:val="22"/>
          <w:szCs w:val="22"/>
        </w:rPr>
        <w:t>tyres</w:t>
      </w:r>
      <w:proofErr w:type="spellEnd"/>
      <w:r w:rsidR="00C81DC3">
        <w:rPr>
          <w:i/>
          <w:sz w:val="22"/>
          <w:szCs w:val="22"/>
        </w:rPr>
        <w:t xml:space="preserve"> are a further development of our previous range </w:t>
      </w:r>
      <w:r w:rsidR="008B16BE">
        <w:rPr>
          <w:i/>
          <w:sz w:val="22"/>
          <w:szCs w:val="22"/>
        </w:rPr>
        <w:t>and</w:t>
      </w:r>
      <w:r w:rsidR="00C81DC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now feature</w:t>
      </w:r>
      <w:r w:rsidR="00C81DC3">
        <w:rPr>
          <w:i/>
          <w:sz w:val="22"/>
          <w:szCs w:val="22"/>
        </w:rPr>
        <w:t xml:space="preserve"> </w:t>
      </w:r>
      <w:proofErr w:type="spellStart"/>
      <w:r w:rsidR="004E7529">
        <w:rPr>
          <w:i/>
          <w:sz w:val="22"/>
          <w:szCs w:val="22"/>
        </w:rPr>
        <w:t>DuraShield</w:t>
      </w:r>
      <w:proofErr w:type="spellEnd"/>
      <w:r w:rsidR="004E7529">
        <w:rPr>
          <w:i/>
          <w:sz w:val="22"/>
          <w:szCs w:val="22"/>
        </w:rPr>
        <w:t xml:space="preserve"> </w:t>
      </w:r>
      <w:r w:rsidR="00C81DC3">
        <w:rPr>
          <w:i/>
          <w:sz w:val="22"/>
          <w:szCs w:val="22"/>
        </w:rPr>
        <w:t xml:space="preserve">technology to make them even tougher and offer </w:t>
      </w:r>
      <w:r w:rsidR="009C35C3">
        <w:rPr>
          <w:i/>
          <w:sz w:val="22"/>
          <w:szCs w:val="22"/>
        </w:rPr>
        <w:t>greater service life</w:t>
      </w:r>
      <w:r w:rsidR="00253329" w:rsidRPr="00253329">
        <w:rPr>
          <w:i/>
          <w:color w:val="00000A"/>
          <w:sz w:val="22"/>
          <w:szCs w:val="22"/>
        </w:rPr>
        <w:t>.</w:t>
      </w:r>
      <w:r w:rsidR="00C81DC3">
        <w:rPr>
          <w:i/>
          <w:color w:val="00000A"/>
          <w:sz w:val="22"/>
          <w:szCs w:val="22"/>
        </w:rPr>
        <w:t xml:space="preserve">  We are so </w:t>
      </w:r>
      <w:r w:rsidR="00B311AF">
        <w:rPr>
          <w:i/>
          <w:color w:val="00000A"/>
          <w:sz w:val="22"/>
          <w:szCs w:val="22"/>
        </w:rPr>
        <w:t>c</w:t>
      </w:r>
      <w:r w:rsidR="00C81DC3">
        <w:rPr>
          <w:i/>
          <w:color w:val="00000A"/>
          <w:sz w:val="22"/>
          <w:szCs w:val="22"/>
        </w:rPr>
        <w:t xml:space="preserve">onfident </w:t>
      </w:r>
      <w:r>
        <w:rPr>
          <w:i/>
          <w:color w:val="00000A"/>
          <w:sz w:val="22"/>
          <w:szCs w:val="22"/>
        </w:rPr>
        <w:t>of</w:t>
      </w:r>
      <w:r w:rsidR="00C81DC3">
        <w:rPr>
          <w:i/>
          <w:color w:val="00000A"/>
          <w:sz w:val="22"/>
          <w:szCs w:val="22"/>
        </w:rPr>
        <w:t xml:space="preserve"> the robustness of these </w:t>
      </w:r>
      <w:proofErr w:type="spellStart"/>
      <w:r w:rsidR="00C81DC3">
        <w:rPr>
          <w:i/>
          <w:color w:val="00000A"/>
          <w:sz w:val="22"/>
          <w:szCs w:val="22"/>
        </w:rPr>
        <w:t>tyres</w:t>
      </w:r>
      <w:proofErr w:type="spellEnd"/>
      <w:r w:rsidR="00C81DC3">
        <w:rPr>
          <w:i/>
          <w:color w:val="00000A"/>
          <w:sz w:val="22"/>
          <w:szCs w:val="22"/>
        </w:rPr>
        <w:t xml:space="preserve"> that we are guarantee</w:t>
      </w:r>
      <w:r>
        <w:rPr>
          <w:i/>
          <w:color w:val="00000A"/>
          <w:sz w:val="22"/>
          <w:szCs w:val="22"/>
        </w:rPr>
        <w:t>ing them</w:t>
      </w:r>
      <w:r w:rsidR="00C81DC3">
        <w:rPr>
          <w:i/>
          <w:color w:val="00000A"/>
          <w:sz w:val="22"/>
          <w:szCs w:val="22"/>
        </w:rPr>
        <w:t xml:space="preserve"> agains</w:t>
      </w:r>
      <w:r>
        <w:rPr>
          <w:i/>
          <w:color w:val="00000A"/>
          <w:sz w:val="22"/>
          <w:szCs w:val="22"/>
        </w:rPr>
        <w:t>t accidental damage</w:t>
      </w:r>
      <w:r w:rsidR="00C81DC3">
        <w:rPr>
          <w:i/>
          <w:color w:val="00000A"/>
          <w:sz w:val="22"/>
          <w:szCs w:val="22"/>
        </w:rPr>
        <w:t>.</w:t>
      </w:r>
      <w:r w:rsidR="00A66093">
        <w:rPr>
          <w:i/>
          <w:sz w:val="22"/>
          <w:szCs w:val="22"/>
        </w:rPr>
        <w:t>”</w:t>
      </w:r>
    </w:p>
    <w:p w14:paraId="1710B1E9" w14:textId="77777777" w:rsidR="00BB727C" w:rsidRPr="0097029D" w:rsidRDefault="00BB727C" w:rsidP="00040178">
      <w:pPr>
        <w:pStyle w:val="Default"/>
        <w:spacing w:line="360" w:lineRule="auto"/>
        <w:jc w:val="both"/>
        <w:rPr>
          <w:b/>
          <w:color w:val="0055A4"/>
          <w:sz w:val="22"/>
          <w:szCs w:val="22"/>
        </w:rPr>
      </w:pPr>
      <w:r w:rsidRPr="0097029D">
        <w:rPr>
          <w:b/>
          <w:color w:val="0055A4"/>
          <w:sz w:val="22"/>
          <w:szCs w:val="22"/>
        </w:rPr>
        <w:t>OMNITRAC S</w:t>
      </w:r>
    </w:p>
    <w:p w14:paraId="7685FD40" w14:textId="77777777" w:rsidR="008876E9" w:rsidRDefault="00BB727C" w:rsidP="00040178">
      <w:pPr>
        <w:pStyle w:val="Default"/>
        <w:spacing w:line="360" w:lineRule="auto"/>
        <w:jc w:val="both"/>
        <w:rPr>
          <w:color w:val="00000A"/>
          <w:sz w:val="22"/>
          <w:szCs w:val="22"/>
        </w:rPr>
      </w:pPr>
      <w:r w:rsidRPr="00BB727C">
        <w:rPr>
          <w:color w:val="00000A"/>
          <w:sz w:val="22"/>
          <w:szCs w:val="22"/>
        </w:rPr>
        <w:t xml:space="preserve">The OMNITRAC S steer axle </w:t>
      </w:r>
      <w:proofErr w:type="spellStart"/>
      <w:r w:rsidRPr="00BB727C">
        <w:rPr>
          <w:color w:val="00000A"/>
          <w:sz w:val="22"/>
          <w:szCs w:val="22"/>
        </w:rPr>
        <w:t>tyre</w:t>
      </w:r>
      <w:proofErr w:type="spellEnd"/>
      <w:r w:rsidRPr="00BB727C">
        <w:rPr>
          <w:color w:val="00000A"/>
          <w:sz w:val="22"/>
          <w:szCs w:val="22"/>
        </w:rPr>
        <w:t xml:space="preserve"> is designed to cope with the specific </w:t>
      </w:r>
      <w:r>
        <w:rPr>
          <w:color w:val="00000A"/>
          <w:sz w:val="22"/>
          <w:szCs w:val="22"/>
        </w:rPr>
        <w:t xml:space="preserve">conditions encountered </w:t>
      </w:r>
      <w:r w:rsidRPr="00BB727C">
        <w:rPr>
          <w:color w:val="00000A"/>
          <w:sz w:val="22"/>
          <w:szCs w:val="22"/>
        </w:rPr>
        <w:t xml:space="preserve">in modern construction </w:t>
      </w:r>
      <w:r w:rsidR="004C3981">
        <w:rPr>
          <w:color w:val="00000A"/>
          <w:sz w:val="22"/>
          <w:szCs w:val="22"/>
        </w:rPr>
        <w:t xml:space="preserve">industry and similar </w:t>
      </w:r>
      <w:r w:rsidRPr="00BB727C">
        <w:rPr>
          <w:color w:val="00000A"/>
          <w:sz w:val="22"/>
          <w:szCs w:val="22"/>
        </w:rPr>
        <w:t>applications</w:t>
      </w:r>
      <w:r>
        <w:rPr>
          <w:color w:val="00000A"/>
          <w:sz w:val="22"/>
          <w:szCs w:val="22"/>
        </w:rPr>
        <w:t xml:space="preserve"> where a high proportion of highway use </w:t>
      </w:r>
      <w:r w:rsidR="009737AE">
        <w:rPr>
          <w:color w:val="00000A"/>
          <w:sz w:val="22"/>
          <w:szCs w:val="22"/>
        </w:rPr>
        <w:t>is experience</w:t>
      </w:r>
      <w:r w:rsidR="009C35C3">
        <w:rPr>
          <w:color w:val="00000A"/>
          <w:sz w:val="22"/>
          <w:szCs w:val="22"/>
        </w:rPr>
        <w:t>d</w:t>
      </w:r>
      <w:r>
        <w:rPr>
          <w:color w:val="00000A"/>
          <w:sz w:val="22"/>
          <w:szCs w:val="22"/>
        </w:rPr>
        <w:t xml:space="preserve"> </w:t>
      </w:r>
      <w:r w:rsidR="009C35C3">
        <w:rPr>
          <w:color w:val="00000A"/>
          <w:sz w:val="22"/>
          <w:szCs w:val="22"/>
        </w:rPr>
        <w:t>in addition to</w:t>
      </w:r>
      <w:r w:rsidR="009737AE">
        <w:rPr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 xml:space="preserve">off-road use </w:t>
      </w:r>
      <w:r w:rsidR="009C35C3">
        <w:rPr>
          <w:color w:val="00000A"/>
          <w:sz w:val="22"/>
          <w:szCs w:val="22"/>
        </w:rPr>
        <w:t>on</w:t>
      </w:r>
      <w:r>
        <w:rPr>
          <w:color w:val="00000A"/>
          <w:sz w:val="22"/>
          <w:szCs w:val="22"/>
        </w:rPr>
        <w:t xml:space="preserve"> site</w:t>
      </w:r>
      <w:r w:rsidR="009C35C3">
        <w:rPr>
          <w:color w:val="00000A"/>
          <w:sz w:val="22"/>
          <w:szCs w:val="22"/>
        </w:rPr>
        <w:t>s</w:t>
      </w:r>
      <w:r w:rsidRPr="00BB727C">
        <w:rPr>
          <w:color w:val="00000A"/>
          <w:sz w:val="22"/>
          <w:szCs w:val="22"/>
        </w:rPr>
        <w:t xml:space="preserve">. </w:t>
      </w:r>
      <w:r>
        <w:rPr>
          <w:color w:val="00000A"/>
          <w:sz w:val="22"/>
          <w:szCs w:val="22"/>
        </w:rPr>
        <w:t xml:space="preserve"> Good on-road wear performance plus</w:t>
      </w:r>
      <w:r w:rsidRPr="00BB727C">
        <w:rPr>
          <w:color w:val="00000A"/>
          <w:sz w:val="22"/>
          <w:szCs w:val="22"/>
        </w:rPr>
        <w:t xml:space="preserve"> significantly </w:t>
      </w:r>
      <w:r w:rsidR="00DD4352">
        <w:rPr>
          <w:color w:val="00000A"/>
          <w:sz w:val="22"/>
          <w:szCs w:val="22"/>
        </w:rPr>
        <w:t>high levels of</w:t>
      </w:r>
      <w:r w:rsidR="00DD4352" w:rsidRPr="00BB727C">
        <w:rPr>
          <w:color w:val="00000A"/>
          <w:sz w:val="22"/>
          <w:szCs w:val="22"/>
        </w:rPr>
        <w:t xml:space="preserve"> </w:t>
      </w:r>
      <w:r w:rsidRPr="00BB727C">
        <w:rPr>
          <w:color w:val="00000A"/>
          <w:sz w:val="22"/>
          <w:szCs w:val="22"/>
        </w:rPr>
        <w:t xml:space="preserve">resistance to tread damage and excellent </w:t>
      </w:r>
      <w:proofErr w:type="spellStart"/>
      <w:r w:rsidRPr="00BB727C">
        <w:rPr>
          <w:color w:val="00000A"/>
          <w:sz w:val="22"/>
          <w:szCs w:val="22"/>
        </w:rPr>
        <w:t>retreadability</w:t>
      </w:r>
      <w:proofErr w:type="spellEnd"/>
      <w:r w:rsidRPr="00BB727C">
        <w:rPr>
          <w:color w:val="00000A"/>
          <w:sz w:val="22"/>
          <w:szCs w:val="22"/>
        </w:rPr>
        <w:t xml:space="preserve"> thanks to the innovative </w:t>
      </w:r>
      <w:proofErr w:type="spellStart"/>
      <w:r w:rsidR="000B1C5E">
        <w:rPr>
          <w:color w:val="00000A"/>
          <w:sz w:val="22"/>
          <w:szCs w:val="22"/>
        </w:rPr>
        <w:t>DuraShield</w:t>
      </w:r>
      <w:proofErr w:type="spellEnd"/>
      <w:r w:rsidR="000B1C5E">
        <w:rPr>
          <w:color w:val="00000A"/>
          <w:sz w:val="22"/>
          <w:szCs w:val="22"/>
        </w:rPr>
        <w:t xml:space="preserve"> </w:t>
      </w:r>
      <w:r w:rsidRPr="00BB727C">
        <w:rPr>
          <w:color w:val="00000A"/>
          <w:sz w:val="22"/>
          <w:szCs w:val="22"/>
        </w:rPr>
        <w:t>technology</w:t>
      </w:r>
      <w:r>
        <w:rPr>
          <w:color w:val="00000A"/>
          <w:sz w:val="22"/>
          <w:szCs w:val="22"/>
        </w:rPr>
        <w:t xml:space="preserve"> are the benefits this </w:t>
      </w:r>
      <w:proofErr w:type="spellStart"/>
      <w:r>
        <w:rPr>
          <w:color w:val="00000A"/>
          <w:sz w:val="22"/>
          <w:szCs w:val="22"/>
        </w:rPr>
        <w:t>tyre</w:t>
      </w:r>
      <w:proofErr w:type="spellEnd"/>
      <w:r>
        <w:rPr>
          <w:color w:val="00000A"/>
          <w:sz w:val="22"/>
          <w:szCs w:val="22"/>
        </w:rPr>
        <w:t xml:space="preserve"> offers.</w:t>
      </w:r>
    </w:p>
    <w:p w14:paraId="0D5176A4" w14:textId="77777777" w:rsidR="008F3330" w:rsidRPr="0097029D" w:rsidRDefault="008F3330" w:rsidP="00040178">
      <w:pPr>
        <w:pStyle w:val="Default"/>
        <w:spacing w:line="360" w:lineRule="auto"/>
        <w:jc w:val="both"/>
        <w:rPr>
          <w:b/>
          <w:color w:val="0055A4"/>
          <w:sz w:val="22"/>
          <w:szCs w:val="22"/>
        </w:rPr>
      </w:pPr>
      <w:r w:rsidRPr="0097029D">
        <w:rPr>
          <w:b/>
          <w:color w:val="0055A4"/>
          <w:sz w:val="22"/>
          <w:szCs w:val="22"/>
        </w:rPr>
        <w:t>OMNITRAC D</w:t>
      </w:r>
    </w:p>
    <w:p w14:paraId="094124C2" w14:textId="46E69729" w:rsidR="00740EB7" w:rsidRDefault="008F3330" w:rsidP="00040178">
      <w:pPr>
        <w:pStyle w:val="Default"/>
        <w:spacing w:line="360" w:lineRule="auto"/>
        <w:jc w:val="both"/>
        <w:rPr>
          <w:color w:val="00000A"/>
          <w:sz w:val="22"/>
          <w:szCs w:val="22"/>
        </w:rPr>
      </w:pPr>
      <w:r w:rsidRPr="008F3330">
        <w:rPr>
          <w:color w:val="00000A"/>
          <w:sz w:val="22"/>
          <w:szCs w:val="22"/>
        </w:rPr>
        <w:t>The</w:t>
      </w:r>
      <w:r w:rsidR="00977CDA">
        <w:rPr>
          <w:color w:val="00000A"/>
          <w:sz w:val="22"/>
          <w:szCs w:val="22"/>
        </w:rPr>
        <w:t xml:space="preserve"> new OMNITRAC D</w:t>
      </w:r>
      <w:r w:rsidR="00727512">
        <w:rPr>
          <w:color w:val="00000A"/>
          <w:sz w:val="22"/>
          <w:szCs w:val="22"/>
        </w:rPr>
        <w:t xml:space="preserve"> </w:t>
      </w:r>
      <w:r w:rsidR="00977CDA">
        <w:rPr>
          <w:color w:val="00000A"/>
          <w:sz w:val="22"/>
          <w:szCs w:val="22"/>
        </w:rPr>
        <w:t xml:space="preserve">drive axle </w:t>
      </w:r>
      <w:proofErr w:type="spellStart"/>
      <w:r w:rsidR="00977CDA">
        <w:rPr>
          <w:color w:val="00000A"/>
          <w:sz w:val="22"/>
          <w:szCs w:val="22"/>
        </w:rPr>
        <w:t>tyre</w:t>
      </w:r>
      <w:proofErr w:type="spellEnd"/>
      <w:r w:rsidR="00977CDA">
        <w:rPr>
          <w:color w:val="00000A"/>
          <w:sz w:val="22"/>
          <w:szCs w:val="22"/>
        </w:rPr>
        <w:t xml:space="preserve"> </w:t>
      </w:r>
      <w:r w:rsidR="00727512">
        <w:rPr>
          <w:color w:val="00000A"/>
          <w:sz w:val="22"/>
          <w:szCs w:val="22"/>
        </w:rPr>
        <w:t xml:space="preserve">features a tread with </w:t>
      </w:r>
      <w:r w:rsidR="00740EB7">
        <w:rPr>
          <w:color w:val="00000A"/>
          <w:sz w:val="22"/>
          <w:szCs w:val="22"/>
        </w:rPr>
        <w:t>three</w:t>
      </w:r>
      <w:r w:rsidR="00740EB7" w:rsidRPr="00740EB7">
        <w:rPr>
          <w:color w:val="00000A"/>
          <w:sz w:val="22"/>
          <w:szCs w:val="22"/>
        </w:rPr>
        <w:t xml:space="preserve"> rows of directional </w:t>
      </w:r>
      <w:proofErr w:type="spellStart"/>
      <w:r w:rsidR="00740EB7" w:rsidRPr="00740EB7">
        <w:rPr>
          <w:color w:val="00000A"/>
          <w:sz w:val="22"/>
          <w:szCs w:val="22"/>
        </w:rPr>
        <w:t>siped</w:t>
      </w:r>
      <w:proofErr w:type="spellEnd"/>
      <w:r w:rsidR="00740EB7" w:rsidRPr="00740EB7">
        <w:rPr>
          <w:color w:val="00000A"/>
          <w:sz w:val="22"/>
          <w:szCs w:val="22"/>
        </w:rPr>
        <w:t xml:space="preserve"> blocks</w:t>
      </w:r>
      <w:r w:rsidR="006A6B09">
        <w:rPr>
          <w:color w:val="00000A"/>
          <w:sz w:val="22"/>
          <w:szCs w:val="22"/>
        </w:rPr>
        <w:t>, which</w:t>
      </w:r>
      <w:r w:rsidR="00155B62">
        <w:rPr>
          <w:color w:val="00000A"/>
          <w:sz w:val="22"/>
          <w:szCs w:val="22"/>
        </w:rPr>
        <w:t xml:space="preserve"> </w:t>
      </w:r>
      <w:r w:rsidR="00155B62" w:rsidRPr="00155B62">
        <w:rPr>
          <w:color w:val="00000A"/>
          <w:sz w:val="22"/>
          <w:szCs w:val="22"/>
          <w:lang w:val="en-GB"/>
        </w:rPr>
        <w:t>optimise</w:t>
      </w:r>
      <w:r w:rsidR="00740EB7">
        <w:rPr>
          <w:color w:val="00000A"/>
          <w:sz w:val="22"/>
          <w:szCs w:val="22"/>
        </w:rPr>
        <w:t xml:space="preserve"> performance on</w:t>
      </w:r>
      <w:r w:rsidR="00740EB7" w:rsidRPr="00740EB7">
        <w:rPr>
          <w:color w:val="00000A"/>
          <w:sz w:val="22"/>
          <w:szCs w:val="22"/>
        </w:rPr>
        <w:t xml:space="preserve"> </w:t>
      </w:r>
      <w:r w:rsidR="00740EB7">
        <w:rPr>
          <w:color w:val="00000A"/>
          <w:sz w:val="22"/>
          <w:szCs w:val="22"/>
        </w:rPr>
        <w:t>highways and</w:t>
      </w:r>
      <w:r w:rsidR="00740EB7" w:rsidRPr="00740EB7">
        <w:rPr>
          <w:color w:val="00000A"/>
          <w:sz w:val="22"/>
          <w:szCs w:val="22"/>
        </w:rPr>
        <w:t xml:space="preserve"> </w:t>
      </w:r>
      <w:r w:rsidR="00740EB7">
        <w:rPr>
          <w:color w:val="00000A"/>
          <w:sz w:val="22"/>
          <w:szCs w:val="22"/>
        </w:rPr>
        <w:t xml:space="preserve">in </w:t>
      </w:r>
      <w:r w:rsidR="00740EB7" w:rsidRPr="00740EB7">
        <w:rPr>
          <w:color w:val="00000A"/>
          <w:sz w:val="22"/>
          <w:szCs w:val="22"/>
        </w:rPr>
        <w:t>winter</w:t>
      </w:r>
      <w:r w:rsidR="00740EB7">
        <w:rPr>
          <w:color w:val="00000A"/>
          <w:sz w:val="22"/>
          <w:szCs w:val="22"/>
        </w:rPr>
        <w:t xml:space="preserve">.  The </w:t>
      </w:r>
      <w:r w:rsidR="00155B62">
        <w:rPr>
          <w:color w:val="00000A"/>
          <w:sz w:val="22"/>
          <w:szCs w:val="22"/>
        </w:rPr>
        <w:t xml:space="preserve">OMNITRAC D </w:t>
      </w:r>
      <w:r w:rsidR="00977CDA">
        <w:rPr>
          <w:color w:val="00000A"/>
          <w:sz w:val="22"/>
          <w:szCs w:val="22"/>
        </w:rPr>
        <w:t>provides</w:t>
      </w:r>
      <w:r w:rsidRPr="008F3330">
        <w:rPr>
          <w:color w:val="00000A"/>
          <w:sz w:val="22"/>
          <w:szCs w:val="22"/>
        </w:rPr>
        <w:t xml:space="preserve"> good on-road wear performance, excellent traction on all surfaces</w:t>
      </w:r>
      <w:r w:rsidR="008B1D49" w:rsidRPr="008B1D49">
        <w:rPr>
          <w:color w:val="00000A"/>
          <w:sz w:val="22"/>
          <w:szCs w:val="22"/>
        </w:rPr>
        <w:t xml:space="preserve"> </w:t>
      </w:r>
      <w:r w:rsidR="008B1D49" w:rsidRPr="00157044">
        <w:rPr>
          <w:color w:val="00000A"/>
          <w:sz w:val="22"/>
          <w:szCs w:val="22"/>
        </w:rPr>
        <w:t xml:space="preserve">throughout </w:t>
      </w:r>
      <w:r w:rsidR="008B1D49">
        <w:rPr>
          <w:color w:val="00000A"/>
          <w:sz w:val="22"/>
          <w:szCs w:val="22"/>
        </w:rPr>
        <w:t>its</w:t>
      </w:r>
      <w:r w:rsidR="008B1D49" w:rsidRPr="00157044">
        <w:rPr>
          <w:color w:val="00000A"/>
          <w:sz w:val="22"/>
          <w:szCs w:val="22"/>
        </w:rPr>
        <w:t xml:space="preserve"> life</w:t>
      </w:r>
      <w:r w:rsidRPr="008F3330">
        <w:rPr>
          <w:color w:val="00000A"/>
          <w:sz w:val="22"/>
          <w:szCs w:val="22"/>
        </w:rPr>
        <w:t xml:space="preserve">, longer </w:t>
      </w:r>
      <w:r w:rsidR="009737AE">
        <w:rPr>
          <w:color w:val="00000A"/>
          <w:sz w:val="22"/>
          <w:szCs w:val="22"/>
        </w:rPr>
        <w:t>service</w:t>
      </w:r>
      <w:r w:rsidRPr="008F3330">
        <w:rPr>
          <w:color w:val="00000A"/>
          <w:sz w:val="22"/>
          <w:szCs w:val="22"/>
        </w:rPr>
        <w:t xml:space="preserve"> life and </w:t>
      </w:r>
      <w:r w:rsidR="00DD4352">
        <w:rPr>
          <w:color w:val="00000A"/>
          <w:sz w:val="22"/>
          <w:szCs w:val="22"/>
        </w:rPr>
        <w:t>guaranteed</w:t>
      </w:r>
      <w:r w:rsidR="00DD4352" w:rsidRPr="008F3330">
        <w:rPr>
          <w:color w:val="00000A"/>
          <w:sz w:val="22"/>
          <w:szCs w:val="22"/>
        </w:rPr>
        <w:t xml:space="preserve"> </w:t>
      </w:r>
      <w:proofErr w:type="spellStart"/>
      <w:r w:rsidRPr="008F3330">
        <w:rPr>
          <w:color w:val="00000A"/>
          <w:sz w:val="22"/>
          <w:szCs w:val="22"/>
        </w:rPr>
        <w:t>retreadability</w:t>
      </w:r>
      <w:proofErr w:type="spellEnd"/>
      <w:r w:rsidR="006A6B09">
        <w:rPr>
          <w:color w:val="00000A"/>
          <w:sz w:val="22"/>
          <w:szCs w:val="22"/>
        </w:rPr>
        <w:t>.  T</w:t>
      </w:r>
      <w:r w:rsidR="006A6B09" w:rsidRPr="008F3330">
        <w:rPr>
          <w:color w:val="00000A"/>
          <w:sz w:val="22"/>
          <w:szCs w:val="22"/>
        </w:rPr>
        <w:t xml:space="preserve">hanks to </w:t>
      </w:r>
      <w:proofErr w:type="spellStart"/>
      <w:r w:rsidR="006A6B09">
        <w:rPr>
          <w:color w:val="00000A"/>
          <w:sz w:val="22"/>
          <w:szCs w:val="22"/>
        </w:rPr>
        <w:t>DuraShield</w:t>
      </w:r>
      <w:proofErr w:type="spellEnd"/>
      <w:r w:rsidR="006A6B09">
        <w:rPr>
          <w:color w:val="00000A"/>
          <w:sz w:val="22"/>
          <w:szCs w:val="22"/>
        </w:rPr>
        <w:t xml:space="preserve"> </w:t>
      </w:r>
      <w:r w:rsidR="006A6B09" w:rsidRPr="008F3330">
        <w:rPr>
          <w:color w:val="00000A"/>
          <w:sz w:val="22"/>
          <w:szCs w:val="22"/>
        </w:rPr>
        <w:t>technology</w:t>
      </w:r>
      <w:r w:rsidR="006A6B09">
        <w:rPr>
          <w:color w:val="00000A"/>
          <w:sz w:val="22"/>
          <w:szCs w:val="22"/>
        </w:rPr>
        <w:t xml:space="preserve">, </w:t>
      </w:r>
      <w:r w:rsidR="006A6B09" w:rsidRPr="00157044">
        <w:rPr>
          <w:color w:val="00000A"/>
          <w:sz w:val="22"/>
          <w:szCs w:val="22"/>
        </w:rPr>
        <w:t xml:space="preserve">casing </w:t>
      </w:r>
      <w:r w:rsidR="006A6B09">
        <w:rPr>
          <w:color w:val="00000A"/>
          <w:sz w:val="22"/>
          <w:szCs w:val="22"/>
        </w:rPr>
        <w:t xml:space="preserve">durability </w:t>
      </w:r>
      <w:r w:rsidR="006A6B09" w:rsidRPr="00157044">
        <w:rPr>
          <w:color w:val="00000A"/>
          <w:sz w:val="22"/>
          <w:szCs w:val="22"/>
        </w:rPr>
        <w:t xml:space="preserve">and </w:t>
      </w:r>
      <w:r w:rsidR="006A6B09" w:rsidRPr="008F3330">
        <w:rPr>
          <w:color w:val="00000A"/>
          <w:sz w:val="22"/>
          <w:szCs w:val="22"/>
        </w:rPr>
        <w:t>resistance to tread damage</w:t>
      </w:r>
      <w:r w:rsidR="006A6B09">
        <w:rPr>
          <w:color w:val="00000A"/>
          <w:sz w:val="22"/>
          <w:szCs w:val="22"/>
        </w:rPr>
        <w:t xml:space="preserve"> are</w:t>
      </w:r>
      <w:r w:rsidR="006B29DB">
        <w:rPr>
          <w:color w:val="00000A"/>
          <w:sz w:val="22"/>
          <w:szCs w:val="22"/>
        </w:rPr>
        <w:t xml:space="preserve"> </w:t>
      </w:r>
      <w:r w:rsidR="00C2612D" w:rsidRPr="008F3330">
        <w:rPr>
          <w:color w:val="00000A"/>
          <w:sz w:val="22"/>
          <w:szCs w:val="22"/>
        </w:rPr>
        <w:t>significantly enhanced</w:t>
      </w:r>
      <w:r w:rsidR="00157044">
        <w:rPr>
          <w:color w:val="00000A"/>
          <w:sz w:val="22"/>
          <w:szCs w:val="22"/>
        </w:rPr>
        <w:t xml:space="preserve"> </w:t>
      </w:r>
      <w:r w:rsidR="008B1D49">
        <w:rPr>
          <w:color w:val="00000A"/>
          <w:sz w:val="22"/>
          <w:szCs w:val="22"/>
        </w:rPr>
        <w:t>with a high level of</w:t>
      </w:r>
      <w:r w:rsidR="008B1D49" w:rsidRPr="00157044">
        <w:rPr>
          <w:color w:val="00000A"/>
          <w:sz w:val="22"/>
          <w:szCs w:val="22"/>
        </w:rPr>
        <w:t xml:space="preserve"> </w:t>
      </w:r>
      <w:r w:rsidR="00157044" w:rsidRPr="00157044">
        <w:rPr>
          <w:color w:val="00000A"/>
          <w:sz w:val="22"/>
          <w:szCs w:val="22"/>
        </w:rPr>
        <w:t>chip/chunk resistance under torque</w:t>
      </w:r>
      <w:r w:rsidR="00155B62">
        <w:rPr>
          <w:color w:val="00000A"/>
          <w:sz w:val="22"/>
          <w:szCs w:val="22"/>
        </w:rPr>
        <w:t xml:space="preserve"> including that from </w:t>
      </w:r>
      <w:r w:rsidR="00155B62" w:rsidRPr="00157044">
        <w:rPr>
          <w:color w:val="00000A"/>
          <w:sz w:val="22"/>
          <w:szCs w:val="22"/>
        </w:rPr>
        <w:t>retarder operation</w:t>
      </w:r>
      <w:r w:rsidR="00155B62">
        <w:rPr>
          <w:color w:val="00000A"/>
          <w:sz w:val="22"/>
          <w:szCs w:val="22"/>
        </w:rPr>
        <w:t xml:space="preserve">.  </w:t>
      </w:r>
    </w:p>
    <w:p w14:paraId="232BDC47" w14:textId="77777777" w:rsidR="009527E4" w:rsidRPr="0097029D" w:rsidRDefault="009527E4" w:rsidP="00423D52">
      <w:pPr>
        <w:pStyle w:val="Default"/>
        <w:jc w:val="both"/>
        <w:rPr>
          <w:b/>
          <w:color w:val="0055A4"/>
          <w:sz w:val="22"/>
          <w:szCs w:val="22"/>
        </w:rPr>
      </w:pPr>
      <w:r w:rsidRPr="0097029D">
        <w:rPr>
          <w:b/>
          <w:color w:val="0055A4"/>
          <w:sz w:val="22"/>
          <w:szCs w:val="22"/>
        </w:rPr>
        <w:t>NEW OMNITRAC SIZES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7"/>
        <w:gridCol w:w="1441"/>
        <w:gridCol w:w="1801"/>
        <w:gridCol w:w="811"/>
        <w:gridCol w:w="721"/>
        <w:gridCol w:w="1082"/>
        <w:gridCol w:w="631"/>
        <w:gridCol w:w="1346"/>
      </w:tblGrid>
      <w:tr w:rsidR="0097029D" w:rsidRPr="00E60CEB" w14:paraId="640A638D" w14:textId="77777777" w:rsidTr="0097029D">
        <w:trPr>
          <w:trHeight w:val="388"/>
        </w:trPr>
        <w:tc>
          <w:tcPr>
            <w:tcW w:w="816" w:type="pct"/>
            <w:shd w:val="clear" w:color="auto" w:fill="FFFFFF" w:themeFill="background1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14:paraId="64AE534D" w14:textId="77777777" w:rsidR="009737AE" w:rsidRPr="00423D52" w:rsidRDefault="009737AE" w:rsidP="0097029D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kern w:val="24"/>
                <w:sz w:val="14"/>
                <w:szCs w:val="22"/>
                <w:lang w:eastAsia="en-GB"/>
              </w:rPr>
            </w:pPr>
            <w:r w:rsidRPr="00423D52">
              <w:rPr>
                <w:rFonts w:ascii="Arial" w:eastAsiaTheme="minorEastAsia" w:hAnsi="Arial" w:cs="Arial"/>
                <w:b/>
                <w:bCs/>
                <w:caps/>
                <w:kern w:val="24"/>
                <w:sz w:val="14"/>
                <w:szCs w:val="22"/>
                <w:lang w:eastAsia="en-GB"/>
              </w:rPr>
              <w:t>tyre</w:t>
            </w:r>
          </w:p>
        </w:tc>
        <w:tc>
          <w:tcPr>
            <w:tcW w:w="770" w:type="pct"/>
            <w:shd w:val="clear" w:color="auto" w:fill="FFFFFF" w:themeFill="background1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14:paraId="0EBEA411" w14:textId="77777777" w:rsidR="009737AE" w:rsidRPr="00423D52" w:rsidRDefault="009737AE" w:rsidP="0097029D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kern w:val="24"/>
                <w:sz w:val="14"/>
                <w:szCs w:val="22"/>
                <w:lang w:eastAsia="en-GB"/>
              </w:rPr>
            </w:pPr>
            <w:r w:rsidRPr="00423D52">
              <w:rPr>
                <w:rFonts w:ascii="Arial" w:eastAsiaTheme="minorEastAsia" w:hAnsi="Arial" w:cs="Arial"/>
                <w:b/>
                <w:bCs/>
                <w:caps/>
                <w:kern w:val="24"/>
                <w:sz w:val="14"/>
                <w:szCs w:val="22"/>
                <w:lang w:eastAsia="en-GB"/>
              </w:rPr>
              <w:t>size</w:t>
            </w:r>
          </w:p>
        </w:tc>
        <w:tc>
          <w:tcPr>
            <w:tcW w:w="962" w:type="pct"/>
            <w:shd w:val="clear" w:color="auto" w:fill="FFFFFF" w:themeFill="background1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14:paraId="42A8D3A7" w14:textId="77777777" w:rsidR="009737AE" w:rsidRPr="00423D52" w:rsidRDefault="009737AE" w:rsidP="0097029D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kern w:val="24"/>
                <w:sz w:val="14"/>
                <w:szCs w:val="22"/>
                <w:lang w:eastAsia="en-GB"/>
              </w:rPr>
            </w:pPr>
            <w:r w:rsidRPr="00423D52">
              <w:rPr>
                <w:rFonts w:ascii="Arial" w:eastAsiaTheme="minorEastAsia" w:hAnsi="Arial" w:cs="Arial"/>
                <w:b/>
                <w:bCs/>
                <w:caps/>
                <w:kern w:val="24"/>
                <w:sz w:val="14"/>
                <w:szCs w:val="22"/>
                <w:lang w:eastAsia="en-GB"/>
              </w:rPr>
              <w:t>load index</w:t>
            </w:r>
          </w:p>
        </w:tc>
        <w:tc>
          <w:tcPr>
            <w:tcW w:w="433" w:type="pct"/>
            <w:shd w:val="clear" w:color="auto" w:fill="FFFFFF" w:themeFill="background1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14:paraId="61CC7F57" w14:textId="77777777" w:rsidR="009737AE" w:rsidRPr="00423D52" w:rsidRDefault="009737AE" w:rsidP="0097029D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kern w:val="24"/>
                <w:sz w:val="14"/>
                <w:szCs w:val="22"/>
                <w:lang w:eastAsia="en-GB"/>
              </w:rPr>
            </w:pPr>
            <w:r w:rsidRPr="00423D52">
              <w:rPr>
                <w:rFonts w:ascii="Arial" w:eastAsiaTheme="minorEastAsia" w:hAnsi="Arial" w:cs="Arial"/>
                <w:b/>
                <w:bCs/>
                <w:caps/>
                <w:kern w:val="24"/>
                <w:sz w:val="14"/>
                <w:szCs w:val="22"/>
                <w:lang w:eastAsia="en-GB"/>
              </w:rPr>
              <w:t>speed index</w:t>
            </w:r>
          </w:p>
        </w:tc>
        <w:tc>
          <w:tcPr>
            <w:tcW w:w="385" w:type="pct"/>
            <w:shd w:val="clear" w:color="auto" w:fill="FFFFFF" w:themeFill="background1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14:paraId="7D3E05FE" w14:textId="77777777" w:rsidR="009737AE" w:rsidRPr="00423D52" w:rsidRDefault="009737AE" w:rsidP="0097029D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kern w:val="24"/>
                <w:sz w:val="14"/>
                <w:szCs w:val="22"/>
                <w:lang w:eastAsia="en-GB"/>
              </w:rPr>
            </w:pPr>
            <w:r w:rsidRPr="00423D52">
              <w:rPr>
                <w:rFonts w:ascii="Arial" w:eastAsiaTheme="minorEastAsia" w:hAnsi="Arial" w:cs="Arial"/>
                <w:b/>
                <w:bCs/>
                <w:caps/>
                <w:kern w:val="24"/>
                <w:sz w:val="14"/>
                <w:szCs w:val="22"/>
                <w:lang w:eastAsia="en-GB"/>
              </w:rPr>
              <w:t>3pmsf</w:t>
            </w:r>
          </w:p>
        </w:tc>
        <w:tc>
          <w:tcPr>
            <w:tcW w:w="578" w:type="pct"/>
            <w:shd w:val="clear" w:color="auto" w:fill="FFFFFF" w:themeFill="background1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14:paraId="4F78D5DC" w14:textId="77777777" w:rsidR="009737AE" w:rsidRPr="00423D52" w:rsidRDefault="009737AE" w:rsidP="0097029D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kern w:val="24"/>
                <w:sz w:val="14"/>
                <w:szCs w:val="22"/>
                <w:lang w:eastAsia="en-GB"/>
              </w:rPr>
            </w:pPr>
            <w:r w:rsidRPr="00423D52">
              <w:rPr>
                <w:rFonts w:ascii="Arial" w:eastAsiaTheme="minorEastAsia" w:hAnsi="Arial" w:cs="Arial"/>
                <w:b/>
                <w:bCs/>
                <w:caps/>
                <w:kern w:val="24"/>
                <w:sz w:val="14"/>
                <w:szCs w:val="22"/>
                <w:lang w:eastAsia="en-GB"/>
              </w:rPr>
              <w:t>fuel efficiency</w:t>
            </w:r>
          </w:p>
        </w:tc>
        <w:tc>
          <w:tcPr>
            <w:tcW w:w="337" w:type="pct"/>
            <w:shd w:val="clear" w:color="auto" w:fill="FFFFFF" w:themeFill="background1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14:paraId="69B14B09" w14:textId="77777777" w:rsidR="009737AE" w:rsidRPr="00423D52" w:rsidRDefault="009737AE" w:rsidP="0097029D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kern w:val="24"/>
                <w:sz w:val="14"/>
                <w:szCs w:val="22"/>
                <w:lang w:eastAsia="en-GB"/>
              </w:rPr>
            </w:pPr>
            <w:r w:rsidRPr="00423D52">
              <w:rPr>
                <w:rFonts w:ascii="Arial" w:eastAsiaTheme="minorEastAsia" w:hAnsi="Arial" w:cs="Arial"/>
                <w:b/>
                <w:bCs/>
                <w:caps/>
                <w:kern w:val="24"/>
                <w:sz w:val="14"/>
                <w:szCs w:val="22"/>
                <w:lang w:eastAsia="en-GB"/>
              </w:rPr>
              <w:t>wet grip</w:t>
            </w:r>
          </w:p>
        </w:tc>
        <w:tc>
          <w:tcPr>
            <w:tcW w:w="719" w:type="pct"/>
            <w:shd w:val="clear" w:color="auto" w:fill="FFFFFF" w:themeFill="background1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14:paraId="51988A9C" w14:textId="77777777" w:rsidR="009737AE" w:rsidRPr="00423D52" w:rsidRDefault="009737AE" w:rsidP="0097029D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kern w:val="24"/>
                <w:sz w:val="14"/>
                <w:szCs w:val="22"/>
                <w:lang w:eastAsia="en-GB"/>
              </w:rPr>
            </w:pPr>
            <w:r w:rsidRPr="00423D52">
              <w:rPr>
                <w:rFonts w:ascii="Arial" w:eastAsiaTheme="minorEastAsia" w:hAnsi="Arial" w:cs="Arial"/>
                <w:b/>
                <w:bCs/>
                <w:caps/>
                <w:kern w:val="24"/>
                <w:sz w:val="14"/>
                <w:szCs w:val="22"/>
                <w:lang w:eastAsia="en-GB"/>
              </w:rPr>
              <w:t>Noise emissions</w:t>
            </w:r>
            <w:r w:rsidR="001762E6" w:rsidRPr="001762E6">
              <w:rPr>
                <w:rFonts w:ascii="Arial" w:eastAsiaTheme="minorEastAsia" w:hAnsi="Arial" w:cs="Arial"/>
                <w:b/>
                <w:bCs/>
                <w:caps/>
                <w:kern w:val="24"/>
                <w:sz w:val="14"/>
                <w:szCs w:val="22"/>
                <w:lang w:eastAsia="en-GB"/>
              </w:rPr>
              <w:t xml:space="preserve"> </w:t>
            </w:r>
            <w:r w:rsidRPr="00423D52">
              <w:rPr>
                <w:rFonts w:ascii="Arial" w:eastAsiaTheme="minorEastAsia" w:hAnsi="Arial" w:cs="Arial"/>
                <w:b/>
                <w:bCs/>
                <w:caps/>
                <w:kern w:val="24"/>
                <w:sz w:val="14"/>
                <w:szCs w:val="22"/>
                <w:lang w:eastAsia="en-GB"/>
              </w:rPr>
              <w:t>(</w:t>
            </w:r>
            <w:r w:rsidRPr="00423D52">
              <w:rPr>
                <w:rFonts w:ascii="Arial" w:eastAsiaTheme="minorEastAsia" w:hAnsi="Arial" w:cs="Arial"/>
                <w:b/>
                <w:kern w:val="24"/>
                <w:sz w:val="14"/>
                <w:szCs w:val="22"/>
                <w:lang w:eastAsia="en-GB"/>
              </w:rPr>
              <w:t>dB)</w:t>
            </w:r>
          </w:p>
        </w:tc>
      </w:tr>
      <w:tr w:rsidR="0097029D" w:rsidRPr="00E60CEB" w14:paraId="501D1591" w14:textId="77777777" w:rsidTr="0097029D">
        <w:trPr>
          <w:trHeight w:val="377"/>
        </w:trPr>
        <w:tc>
          <w:tcPr>
            <w:tcW w:w="816" w:type="pct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D9A131A" w14:textId="77777777" w:rsidR="00157BB8" w:rsidRPr="002428C4" w:rsidRDefault="004C3981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bCs/>
                <w:kern w:val="24"/>
                <w:sz w:val="20"/>
                <w:szCs w:val="20"/>
                <w:lang w:eastAsia="en-GB"/>
              </w:rPr>
              <w:t>OMNITRAC S</w:t>
            </w:r>
          </w:p>
        </w:tc>
        <w:tc>
          <w:tcPr>
            <w:tcW w:w="770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ADBC874" w14:textId="77777777" w:rsidR="00157BB8" w:rsidRPr="002428C4" w:rsidRDefault="004C3981" w:rsidP="00040178">
            <w:pPr>
              <w:spacing w:line="360" w:lineRule="auto"/>
              <w:textAlignment w:val="bottom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hAnsi="Arial" w:cs="Arial"/>
                <w:kern w:val="24"/>
                <w:sz w:val="20"/>
                <w:szCs w:val="20"/>
                <w:lang w:val="de-DE" w:eastAsia="en-GB"/>
              </w:rPr>
              <w:t>13R22.5</w:t>
            </w:r>
          </w:p>
        </w:tc>
        <w:tc>
          <w:tcPr>
            <w:tcW w:w="96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A5D54A" w14:textId="77777777" w:rsidR="00157BB8" w:rsidRPr="002428C4" w:rsidRDefault="004C3981" w:rsidP="00040178">
            <w:pPr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hAnsi="Arial" w:cs="Arial"/>
                <w:kern w:val="24"/>
                <w:sz w:val="20"/>
                <w:szCs w:val="20"/>
                <w:lang w:val="de-DE" w:eastAsia="en-GB"/>
              </w:rPr>
              <w:t>156/150</w:t>
            </w:r>
          </w:p>
        </w:tc>
        <w:tc>
          <w:tcPr>
            <w:tcW w:w="433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F47F35" w14:textId="77777777" w:rsidR="00157BB8" w:rsidRPr="002428C4" w:rsidRDefault="004C3981" w:rsidP="00040178">
            <w:pPr>
              <w:spacing w:line="36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val="de-DE" w:eastAsia="en-GB"/>
              </w:rPr>
              <w:t>K</w:t>
            </w:r>
          </w:p>
        </w:tc>
        <w:tc>
          <w:tcPr>
            <w:tcW w:w="385" w:type="pct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EC0C987" w14:textId="77777777" w:rsidR="00157BB8" w:rsidRPr="002428C4" w:rsidRDefault="004C3981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sym w:font="Wingdings" w:char="F0FC"/>
            </w:r>
          </w:p>
        </w:tc>
        <w:tc>
          <w:tcPr>
            <w:tcW w:w="578" w:type="pct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5001F82" w14:textId="77777777" w:rsidR="00157BB8" w:rsidRPr="002428C4" w:rsidRDefault="004C3981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337" w:type="pct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0C56689" w14:textId="77777777" w:rsidR="00157BB8" w:rsidRPr="002428C4" w:rsidRDefault="004C3981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719" w:type="pct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FFB8B55" w14:textId="77777777" w:rsidR="00157BB8" w:rsidRPr="002428C4" w:rsidRDefault="004C3981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gramStart"/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t>71  )</w:t>
            </w:r>
            <w:proofErr w:type="gramEnd"/>
          </w:p>
        </w:tc>
      </w:tr>
      <w:tr w:rsidR="0097029D" w:rsidRPr="00E60CEB" w14:paraId="627CDFD7" w14:textId="77777777" w:rsidTr="0097029D">
        <w:trPr>
          <w:trHeight w:val="377"/>
        </w:trPr>
        <w:tc>
          <w:tcPr>
            <w:tcW w:w="816" w:type="pct"/>
            <w:shd w:val="clear" w:color="auto" w:fill="FFFFFF" w:themeFill="background1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6D145C7" w14:textId="77777777" w:rsidR="00157BB8" w:rsidRPr="002428C4" w:rsidRDefault="004C3981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bCs/>
                <w:kern w:val="24"/>
                <w:sz w:val="20"/>
                <w:szCs w:val="20"/>
                <w:lang w:eastAsia="en-GB"/>
              </w:rPr>
              <w:t>OMNITRAC S</w:t>
            </w:r>
          </w:p>
        </w:tc>
        <w:tc>
          <w:tcPr>
            <w:tcW w:w="770" w:type="pct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56E9E90" w14:textId="77777777" w:rsidR="00157BB8" w:rsidRPr="002428C4" w:rsidRDefault="004C3981" w:rsidP="00040178">
            <w:pPr>
              <w:spacing w:line="360" w:lineRule="auto"/>
              <w:textAlignment w:val="bottom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hAnsi="Arial" w:cs="Arial"/>
                <w:kern w:val="24"/>
                <w:sz w:val="20"/>
                <w:szCs w:val="20"/>
                <w:lang w:val="de-DE" w:eastAsia="en-GB"/>
              </w:rPr>
              <w:t>295/80R22.5</w:t>
            </w:r>
          </w:p>
        </w:tc>
        <w:tc>
          <w:tcPr>
            <w:tcW w:w="962" w:type="pct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FC5C7CA" w14:textId="77777777" w:rsidR="00157BB8" w:rsidRPr="002428C4" w:rsidRDefault="004C3981" w:rsidP="00040178">
            <w:pPr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hAnsi="Arial" w:cs="Arial"/>
                <w:kern w:val="24"/>
                <w:sz w:val="20"/>
                <w:szCs w:val="20"/>
                <w:lang w:val="de-DE" w:eastAsia="en-GB"/>
              </w:rPr>
              <w:t>152/148</w:t>
            </w:r>
          </w:p>
        </w:tc>
        <w:tc>
          <w:tcPr>
            <w:tcW w:w="433" w:type="pct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8E632F" w14:textId="77777777" w:rsidR="00157BB8" w:rsidRPr="002428C4" w:rsidRDefault="004C3981" w:rsidP="00040178">
            <w:pPr>
              <w:spacing w:line="36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val="de-DE" w:eastAsia="en-GB"/>
              </w:rPr>
              <w:t>K</w:t>
            </w:r>
          </w:p>
        </w:tc>
        <w:tc>
          <w:tcPr>
            <w:tcW w:w="385" w:type="pct"/>
            <w:shd w:val="clear" w:color="auto" w:fill="FFFFFF" w:themeFill="background1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E7FAA89" w14:textId="77777777" w:rsidR="00157BB8" w:rsidRPr="002428C4" w:rsidRDefault="004C3981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sym w:font="Wingdings" w:char="F0FC"/>
            </w:r>
          </w:p>
        </w:tc>
        <w:tc>
          <w:tcPr>
            <w:tcW w:w="578" w:type="pct"/>
            <w:shd w:val="clear" w:color="auto" w:fill="FFFFFF" w:themeFill="background1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2BE26E9" w14:textId="77777777" w:rsidR="00157BB8" w:rsidRPr="002428C4" w:rsidRDefault="004C3981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337" w:type="pct"/>
            <w:shd w:val="clear" w:color="auto" w:fill="FFFFFF" w:themeFill="background1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3E76F1F" w14:textId="77777777" w:rsidR="00157BB8" w:rsidRPr="002428C4" w:rsidRDefault="004C3981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719" w:type="pct"/>
            <w:shd w:val="clear" w:color="auto" w:fill="FFFFFF" w:themeFill="background1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09EADC4" w14:textId="77777777" w:rsidR="00157BB8" w:rsidRPr="002428C4" w:rsidRDefault="004C3981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gramStart"/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t>71  )</w:t>
            </w:r>
            <w:proofErr w:type="gramEnd"/>
          </w:p>
        </w:tc>
      </w:tr>
      <w:tr w:rsidR="0097029D" w:rsidRPr="00E60CEB" w14:paraId="4CBCDEC2" w14:textId="77777777" w:rsidTr="0097029D">
        <w:trPr>
          <w:trHeight w:val="377"/>
        </w:trPr>
        <w:tc>
          <w:tcPr>
            <w:tcW w:w="816" w:type="pct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BA41851" w14:textId="77777777" w:rsidR="00157BB8" w:rsidRPr="002428C4" w:rsidRDefault="004C3981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bCs/>
                <w:kern w:val="24"/>
                <w:sz w:val="20"/>
                <w:szCs w:val="20"/>
                <w:lang w:eastAsia="en-GB"/>
              </w:rPr>
              <w:t>OMNITRAC S</w:t>
            </w:r>
          </w:p>
        </w:tc>
        <w:tc>
          <w:tcPr>
            <w:tcW w:w="770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145BF3C" w14:textId="77777777" w:rsidR="00157BB8" w:rsidRPr="002428C4" w:rsidRDefault="004C3981" w:rsidP="00040178">
            <w:pPr>
              <w:spacing w:line="360" w:lineRule="auto"/>
              <w:textAlignment w:val="bottom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hAnsi="Arial" w:cs="Arial"/>
                <w:kern w:val="24"/>
                <w:sz w:val="20"/>
                <w:szCs w:val="20"/>
                <w:lang w:val="de-DE" w:eastAsia="en-GB"/>
              </w:rPr>
              <w:t>315/80R22.5</w:t>
            </w:r>
          </w:p>
        </w:tc>
        <w:tc>
          <w:tcPr>
            <w:tcW w:w="96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BC6122D" w14:textId="77777777" w:rsidR="00157BB8" w:rsidRPr="002428C4" w:rsidRDefault="004C3981" w:rsidP="00040178">
            <w:pPr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hAnsi="Arial" w:cs="Arial"/>
                <w:kern w:val="24"/>
                <w:sz w:val="20"/>
                <w:szCs w:val="20"/>
                <w:lang w:val="de-DE" w:eastAsia="en-GB"/>
              </w:rPr>
              <w:t>156/150</w:t>
            </w:r>
          </w:p>
        </w:tc>
        <w:tc>
          <w:tcPr>
            <w:tcW w:w="433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B416B9" w14:textId="77777777" w:rsidR="00157BB8" w:rsidRPr="002428C4" w:rsidRDefault="004C3981" w:rsidP="00040178">
            <w:pPr>
              <w:spacing w:line="36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val="de-DE" w:eastAsia="en-GB"/>
              </w:rPr>
              <w:t>K</w:t>
            </w:r>
          </w:p>
        </w:tc>
        <w:tc>
          <w:tcPr>
            <w:tcW w:w="385" w:type="pct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FD890E5" w14:textId="77777777" w:rsidR="00157BB8" w:rsidRPr="002428C4" w:rsidRDefault="004C3981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sym w:font="Wingdings" w:char="F0FC"/>
            </w:r>
          </w:p>
        </w:tc>
        <w:tc>
          <w:tcPr>
            <w:tcW w:w="578" w:type="pct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23B8B4A" w14:textId="77777777" w:rsidR="00157BB8" w:rsidRPr="002428C4" w:rsidRDefault="004C3981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337" w:type="pct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15B7784" w14:textId="77777777" w:rsidR="00157BB8" w:rsidRPr="002428C4" w:rsidRDefault="004C3981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719" w:type="pct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D04D06E" w14:textId="77777777" w:rsidR="00157BB8" w:rsidRPr="002428C4" w:rsidRDefault="004C3981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gramStart"/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t>73  )</w:t>
            </w:r>
            <w:proofErr w:type="gramEnd"/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97029D" w:rsidRPr="00E60CEB" w14:paraId="5A88C7E2" w14:textId="77777777" w:rsidTr="0097029D">
        <w:trPr>
          <w:trHeight w:val="377"/>
        </w:trPr>
        <w:tc>
          <w:tcPr>
            <w:tcW w:w="816" w:type="pct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4BA874E" w14:textId="77777777" w:rsidR="004A1FC4" w:rsidRPr="002428C4" w:rsidRDefault="004A1FC4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bCs/>
                <w:kern w:val="24"/>
                <w:sz w:val="20"/>
                <w:szCs w:val="20"/>
                <w:lang w:eastAsia="en-GB"/>
              </w:rPr>
              <w:t>OMNITRAC S</w:t>
            </w:r>
          </w:p>
        </w:tc>
        <w:tc>
          <w:tcPr>
            <w:tcW w:w="770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E5721D" w14:textId="77777777" w:rsidR="004A1FC4" w:rsidRPr="002428C4" w:rsidRDefault="004A1FC4" w:rsidP="00040178">
            <w:pPr>
              <w:spacing w:line="360" w:lineRule="auto"/>
              <w:textAlignment w:val="bottom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hAnsi="Arial" w:cs="Arial"/>
                <w:kern w:val="24"/>
                <w:sz w:val="20"/>
                <w:szCs w:val="20"/>
                <w:lang w:val="de-DE" w:eastAsia="en-GB"/>
              </w:rPr>
              <w:t>315/70R22.5</w:t>
            </w:r>
          </w:p>
        </w:tc>
        <w:tc>
          <w:tcPr>
            <w:tcW w:w="96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576D8B" w14:textId="77777777" w:rsidR="004A1FC4" w:rsidRPr="002428C4" w:rsidRDefault="004A1FC4" w:rsidP="00040178">
            <w:pPr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hAnsi="Arial" w:cs="Arial"/>
                <w:kern w:val="24"/>
                <w:sz w:val="20"/>
                <w:szCs w:val="20"/>
                <w:lang w:val="de-DE" w:eastAsia="en-GB"/>
              </w:rPr>
              <w:t>156/150 High Load</w:t>
            </w:r>
          </w:p>
        </w:tc>
        <w:tc>
          <w:tcPr>
            <w:tcW w:w="433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125161" w14:textId="77777777" w:rsidR="004A1FC4" w:rsidRPr="002428C4" w:rsidRDefault="004A1FC4" w:rsidP="00040178">
            <w:pPr>
              <w:spacing w:line="36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val="de-DE" w:eastAsia="en-GB"/>
              </w:rPr>
              <w:t>K</w:t>
            </w:r>
          </w:p>
        </w:tc>
        <w:tc>
          <w:tcPr>
            <w:tcW w:w="385" w:type="pct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9C8C596" w14:textId="77777777" w:rsidR="004A1FC4" w:rsidRPr="002428C4" w:rsidRDefault="004A1FC4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sym w:font="Wingdings" w:char="F0FC"/>
            </w:r>
          </w:p>
        </w:tc>
        <w:tc>
          <w:tcPr>
            <w:tcW w:w="1634" w:type="pct"/>
            <w:gridSpan w:val="3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650F30B" w14:textId="77777777" w:rsidR="004A1FC4" w:rsidRPr="002428C4" w:rsidRDefault="004A1FC4" w:rsidP="004A1FC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t>under development</w:t>
            </w:r>
          </w:p>
        </w:tc>
        <w:bookmarkStart w:id="2" w:name="_GoBack"/>
        <w:bookmarkEnd w:id="2"/>
      </w:tr>
      <w:tr w:rsidR="0097029D" w:rsidRPr="00E60CEB" w14:paraId="4EF89C4A" w14:textId="77777777" w:rsidTr="0097029D">
        <w:trPr>
          <w:trHeight w:val="377"/>
        </w:trPr>
        <w:tc>
          <w:tcPr>
            <w:tcW w:w="816" w:type="pct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C690F9A" w14:textId="77777777" w:rsidR="004A1FC4" w:rsidRPr="002428C4" w:rsidRDefault="004A1FC4" w:rsidP="004A1FC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bCs/>
                <w:kern w:val="24"/>
                <w:sz w:val="20"/>
                <w:szCs w:val="20"/>
                <w:lang w:eastAsia="en-GB"/>
              </w:rPr>
              <w:t>OMNITRAC S</w:t>
            </w:r>
          </w:p>
        </w:tc>
        <w:tc>
          <w:tcPr>
            <w:tcW w:w="770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588735D" w14:textId="77777777" w:rsidR="004A1FC4" w:rsidRPr="002428C4" w:rsidRDefault="004A1FC4" w:rsidP="004A1FC4">
            <w:pPr>
              <w:spacing w:line="360" w:lineRule="auto"/>
              <w:textAlignment w:val="bottom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hAnsi="Arial" w:cs="Arial"/>
                <w:kern w:val="24"/>
                <w:sz w:val="20"/>
                <w:szCs w:val="20"/>
                <w:lang w:val="de-DE" w:eastAsia="en-GB"/>
              </w:rPr>
              <w:t>385/65R22.5</w:t>
            </w:r>
            <w:r w:rsidRPr="002428C4">
              <w:rPr>
                <w:rStyle w:val="FootnoteReference"/>
                <w:rFonts w:ascii="Arial" w:hAnsi="Arial" w:cs="Arial"/>
                <w:kern w:val="24"/>
                <w:sz w:val="20"/>
                <w:szCs w:val="20"/>
                <w:lang w:val="de-DE" w:eastAsia="en-GB"/>
              </w:rPr>
              <w:footnoteReference w:id="4"/>
            </w:r>
          </w:p>
        </w:tc>
        <w:tc>
          <w:tcPr>
            <w:tcW w:w="96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EBEB09F" w14:textId="77777777" w:rsidR="004A1FC4" w:rsidRPr="002428C4" w:rsidRDefault="004A1FC4" w:rsidP="004A1FC4">
            <w:pPr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hAnsi="Arial" w:cs="Arial"/>
                <w:kern w:val="24"/>
                <w:sz w:val="20"/>
                <w:szCs w:val="20"/>
                <w:lang w:val="de-DE" w:eastAsia="en-GB"/>
              </w:rPr>
              <w:t>160 (158)</w:t>
            </w:r>
          </w:p>
        </w:tc>
        <w:tc>
          <w:tcPr>
            <w:tcW w:w="433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48A84B9" w14:textId="77777777" w:rsidR="004A1FC4" w:rsidRPr="002428C4" w:rsidRDefault="004A1FC4" w:rsidP="004A1FC4">
            <w:pPr>
              <w:spacing w:line="36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val="de-DE" w:eastAsia="en-GB"/>
              </w:rPr>
              <w:t>K (L)</w:t>
            </w:r>
          </w:p>
        </w:tc>
        <w:tc>
          <w:tcPr>
            <w:tcW w:w="385" w:type="pct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112998E" w14:textId="77777777" w:rsidR="004A1FC4" w:rsidRPr="002428C4" w:rsidRDefault="004A1FC4" w:rsidP="004A1FC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sym w:font="Wingdings" w:char="F0FC"/>
            </w:r>
          </w:p>
        </w:tc>
        <w:tc>
          <w:tcPr>
            <w:tcW w:w="1634" w:type="pct"/>
            <w:gridSpan w:val="3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199A917" w14:textId="77777777" w:rsidR="004A1FC4" w:rsidRPr="002428C4" w:rsidRDefault="004A1FC4" w:rsidP="004A1FC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t>under development</w:t>
            </w:r>
          </w:p>
        </w:tc>
      </w:tr>
      <w:tr w:rsidR="0097029D" w:rsidRPr="00E60CEB" w14:paraId="45E3CBBA" w14:textId="77777777" w:rsidTr="0097029D">
        <w:trPr>
          <w:trHeight w:val="377"/>
        </w:trPr>
        <w:tc>
          <w:tcPr>
            <w:tcW w:w="816" w:type="pct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290A0EB" w14:textId="77777777" w:rsidR="00157BB8" w:rsidRPr="002428C4" w:rsidRDefault="004C3981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bCs/>
                <w:kern w:val="24"/>
                <w:sz w:val="20"/>
                <w:szCs w:val="20"/>
                <w:lang w:eastAsia="en-GB"/>
              </w:rPr>
              <w:t>OMNITRAC S</w:t>
            </w:r>
          </w:p>
        </w:tc>
        <w:tc>
          <w:tcPr>
            <w:tcW w:w="770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17A2FA2" w14:textId="77777777" w:rsidR="00157BB8" w:rsidRPr="002428C4" w:rsidRDefault="004C3981" w:rsidP="00040178">
            <w:pPr>
              <w:spacing w:line="360" w:lineRule="auto"/>
              <w:textAlignment w:val="bottom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hAnsi="Arial" w:cs="Arial"/>
                <w:kern w:val="24"/>
                <w:sz w:val="20"/>
                <w:szCs w:val="20"/>
                <w:lang w:val="de-DE" w:eastAsia="en-GB"/>
              </w:rPr>
              <w:t>325/95R24</w:t>
            </w:r>
            <w:r w:rsidR="00041CF3" w:rsidRPr="002428C4">
              <w:rPr>
                <w:rStyle w:val="FootnoteReference"/>
                <w:rFonts w:ascii="Arial" w:hAnsi="Arial" w:cs="Arial"/>
                <w:kern w:val="24"/>
                <w:sz w:val="20"/>
                <w:szCs w:val="20"/>
                <w:lang w:val="de-DE" w:eastAsia="en-GB"/>
              </w:rPr>
              <w:footnoteReference w:id="5"/>
            </w:r>
          </w:p>
        </w:tc>
        <w:tc>
          <w:tcPr>
            <w:tcW w:w="96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825900" w14:textId="77777777" w:rsidR="00157BB8" w:rsidRPr="002428C4" w:rsidRDefault="004C3981" w:rsidP="00040178">
            <w:pPr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hAnsi="Arial" w:cs="Arial"/>
                <w:kern w:val="24"/>
                <w:sz w:val="20"/>
                <w:szCs w:val="20"/>
                <w:lang w:val="de-DE" w:eastAsia="en-GB"/>
              </w:rPr>
              <w:t>162/160</w:t>
            </w:r>
          </w:p>
        </w:tc>
        <w:tc>
          <w:tcPr>
            <w:tcW w:w="433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E9D5EA4" w14:textId="77777777" w:rsidR="00157BB8" w:rsidRPr="002428C4" w:rsidRDefault="004C3981" w:rsidP="00040178">
            <w:pPr>
              <w:spacing w:line="36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val="de-DE" w:eastAsia="en-GB"/>
              </w:rPr>
              <w:t>K</w:t>
            </w:r>
          </w:p>
        </w:tc>
        <w:tc>
          <w:tcPr>
            <w:tcW w:w="385" w:type="pct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644AD57" w14:textId="77777777" w:rsidR="00157BB8" w:rsidRPr="002428C4" w:rsidRDefault="004C3981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sym w:font="Wingdings" w:char="F0FC"/>
            </w:r>
          </w:p>
        </w:tc>
        <w:tc>
          <w:tcPr>
            <w:tcW w:w="578" w:type="pct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3BAD4CC" w14:textId="77777777" w:rsidR="00157BB8" w:rsidRPr="002428C4" w:rsidRDefault="004C3981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337" w:type="pct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182690E" w14:textId="77777777" w:rsidR="00157BB8" w:rsidRPr="002428C4" w:rsidRDefault="004C3981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719" w:type="pct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3051ADA" w14:textId="77777777" w:rsidR="00157BB8" w:rsidRPr="002428C4" w:rsidRDefault="004C3981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gramStart"/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t>72  )</w:t>
            </w:r>
            <w:proofErr w:type="gramEnd"/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97029D" w:rsidRPr="00E60CEB" w14:paraId="17FAA15C" w14:textId="77777777" w:rsidTr="0097029D">
        <w:trPr>
          <w:trHeight w:val="377"/>
        </w:trPr>
        <w:tc>
          <w:tcPr>
            <w:tcW w:w="816" w:type="pct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F0B70B1" w14:textId="77777777" w:rsidR="00157BB8" w:rsidRPr="002428C4" w:rsidRDefault="004C3981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bCs/>
                <w:kern w:val="24"/>
                <w:sz w:val="20"/>
                <w:szCs w:val="20"/>
                <w:lang w:eastAsia="en-GB"/>
              </w:rPr>
              <w:t>OMNITRAC D</w:t>
            </w:r>
          </w:p>
        </w:tc>
        <w:tc>
          <w:tcPr>
            <w:tcW w:w="770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4EF1324" w14:textId="77777777" w:rsidR="00157BB8" w:rsidRPr="002428C4" w:rsidRDefault="004C3981" w:rsidP="00040178">
            <w:pPr>
              <w:spacing w:line="360" w:lineRule="auto"/>
              <w:textAlignment w:val="bottom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hAnsi="Arial" w:cs="Arial"/>
                <w:kern w:val="24"/>
                <w:sz w:val="20"/>
                <w:szCs w:val="20"/>
                <w:lang w:val="de-DE" w:eastAsia="en-GB"/>
              </w:rPr>
              <w:t>13R22.5</w:t>
            </w:r>
          </w:p>
        </w:tc>
        <w:tc>
          <w:tcPr>
            <w:tcW w:w="96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2BE0193" w14:textId="77777777" w:rsidR="00157BB8" w:rsidRPr="002428C4" w:rsidRDefault="004C3981" w:rsidP="00040178">
            <w:pPr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hAnsi="Arial" w:cs="Arial"/>
                <w:kern w:val="24"/>
                <w:sz w:val="20"/>
                <w:szCs w:val="20"/>
                <w:lang w:val="de-DE" w:eastAsia="en-GB"/>
              </w:rPr>
              <w:t>156/150</w:t>
            </w:r>
          </w:p>
        </w:tc>
        <w:tc>
          <w:tcPr>
            <w:tcW w:w="433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4F58C4" w14:textId="77777777" w:rsidR="00157BB8" w:rsidRPr="002428C4" w:rsidRDefault="004C3981" w:rsidP="00040178">
            <w:pPr>
              <w:spacing w:line="36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val="de-DE" w:eastAsia="en-GB"/>
              </w:rPr>
              <w:t>K</w:t>
            </w:r>
          </w:p>
        </w:tc>
        <w:tc>
          <w:tcPr>
            <w:tcW w:w="385" w:type="pct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50D346A" w14:textId="77777777" w:rsidR="00157BB8" w:rsidRPr="002428C4" w:rsidRDefault="004C3981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sym w:font="Wingdings" w:char="F0FC"/>
            </w:r>
          </w:p>
        </w:tc>
        <w:tc>
          <w:tcPr>
            <w:tcW w:w="578" w:type="pct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6A09ED9" w14:textId="77777777" w:rsidR="00157BB8" w:rsidRPr="002428C4" w:rsidRDefault="004C3981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337" w:type="pct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AFACA97" w14:textId="77777777" w:rsidR="00157BB8" w:rsidRPr="002428C4" w:rsidRDefault="004C3981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719" w:type="pct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23AE1F1" w14:textId="77777777" w:rsidR="00157BB8" w:rsidRPr="002428C4" w:rsidRDefault="004C3981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gramStart"/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t>75  )</w:t>
            </w:r>
            <w:proofErr w:type="gramEnd"/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97029D" w:rsidRPr="00E60CEB" w14:paraId="79E0A890" w14:textId="77777777" w:rsidTr="0097029D">
        <w:trPr>
          <w:trHeight w:val="377"/>
        </w:trPr>
        <w:tc>
          <w:tcPr>
            <w:tcW w:w="816" w:type="pct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50D12DA" w14:textId="77777777" w:rsidR="00157BB8" w:rsidRPr="002428C4" w:rsidRDefault="004C3981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bCs/>
                <w:kern w:val="24"/>
                <w:sz w:val="20"/>
                <w:szCs w:val="20"/>
                <w:lang w:eastAsia="en-GB"/>
              </w:rPr>
              <w:t>OMNITRAC D</w:t>
            </w:r>
          </w:p>
        </w:tc>
        <w:tc>
          <w:tcPr>
            <w:tcW w:w="770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198F329" w14:textId="77777777" w:rsidR="00157BB8" w:rsidRPr="002428C4" w:rsidRDefault="004C3981" w:rsidP="00040178">
            <w:pPr>
              <w:spacing w:line="360" w:lineRule="auto"/>
              <w:textAlignment w:val="bottom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hAnsi="Arial" w:cs="Arial"/>
                <w:kern w:val="24"/>
                <w:sz w:val="20"/>
                <w:szCs w:val="20"/>
                <w:lang w:val="de-DE" w:eastAsia="en-GB"/>
              </w:rPr>
              <w:t>295/80R22.5</w:t>
            </w:r>
          </w:p>
        </w:tc>
        <w:tc>
          <w:tcPr>
            <w:tcW w:w="96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B54E0D" w14:textId="77777777" w:rsidR="00157BB8" w:rsidRPr="002428C4" w:rsidRDefault="004C3981" w:rsidP="00040178">
            <w:pPr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hAnsi="Arial" w:cs="Arial"/>
                <w:kern w:val="24"/>
                <w:sz w:val="20"/>
                <w:szCs w:val="20"/>
                <w:lang w:val="de-DE" w:eastAsia="en-GB"/>
              </w:rPr>
              <w:t>152/148</w:t>
            </w:r>
          </w:p>
        </w:tc>
        <w:tc>
          <w:tcPr>
            <w:tcW w:w="433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D80209E" w14:textId="77777777" w:rsidR="00157BB8" w:rsidRPr="002428C4" w:rsidRDefault="004C3981" w:rsidP="00040178">
            <w:pPr>
              <w:spacing w:line="36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val="de-DE" w:eastAsia="en-GB"/>
              </w:rPr>
              <w:t>K</w:t>
            </w:r>
          </w:p>
        </w:tc>
        <w:tc>
          <w:tcPr>
            <w:tcW w:w="385" w:type="pct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7700359" w14:textId="77777777" w:rsidR="00157BB8" w:rsidRPr="002428C4" w:rsidRDefault="004C3981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sym w:font="Wingdings" w:char="F0FC"/>
            </w:r>
          </w:p>
        </w:tc>
        <w:tc>
          <w:tcPr>
            <w:tcW w:w="578" w:type="pct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F3D3EC7" w14:textId="77777777" w:rsidR="00157BB8" w:rsidRPr="002428C4" w:rsidRDefault="004C3981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337" w:type="pct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B9E4323" w14:textId="77777777" w:rsidR="00157BB8" w:rsidRPr="002428C4" w:rsidRDefault="004C3981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719" w:type="pct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18296D1" w14:textId="77777777" w:rsidR="00157BB8" w:rsidRPr="002428C4" w:rsidRDefault="004C3981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gramStart"/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t>75  )</w:t>
            </w:r>
            <w:proofErr w:type="gramEnd"/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97029D" w:rsidRPr="00E60CEB" w14:paraId="47D151D6" w14:textId="77777777" w:rsidTr="0097029D">
        <w:trPr>
          <w:trHeight w:val="377"/>
        </w:trPr>
        <w:tc>
          <w:tcPr>
            <w:tcW w:w="816" w:type="pct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AAF97F2" w14:textId="77777777" w:rsidR="00157BB8" w:rsidRPr="002428C4" w:rsidRDefault="004C3981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bCs/>
                <w:kern w:val="24"/>
                <w:sz w:val="20"/>
                <w:szCs w:val="20"/>
                <w:lang w:eastAsia="en-GB"/>
              </w:rPr>
              <w:t>OMNITRAC D</w:t>
            </w:r>
          </w:p>
        </w:tc>
        <w:tc>
          <w:tcPr>
            <w:tcW w:w="770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64EDA9" w14:textId="77777777" w:rsidR="00157BB8" w:rsidRPr="002428C4" w:rsidRDefault="004C3981" w:rsidP="00040178">
            <w:pPr>
              <w:spacing w:line="360" w:lineRule="auto"/>
              <w:textAlignment w:val="bottom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hAnsi="Arial" w:cs="Arial"/>
                <w:kern w:val="24"/>
                <w:sz w:val="20"/>
                <w:szCs w:val="20"/>
                <w:lang w:val="de-DE" w:eastAsia="en-GB"/>
              </w:rPr>
              <w:t>315/80R22.5</w:t>
            </w:r>
          </w:p>
        </w:tc>
        <w:tc>
          <w:tcPr>
            <w:tcW w:w="96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3FE68ED" w14:textId="77777777" w:rsidR="00157BB8" w:rsidRPr="002428C4" w:rsidRDefault="004C3981" w:rsidP="00040178">
            <w:pPr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hAnsi="Arial" w:cs="Arial"/>
                <w:kern w:val="24"/>
                <w:sz w:val="20"/>
                <w:szCs w:val="20"/>
                <w:lang w:val="de-DE" w:eastAsia="en-GB"/>
              </w:rPr>
              <w:t>156/150</w:t>
            </w:r>
          </w:p>
        </w:tc>
        <w:tc>
          <w:tcPr>
            <w:tcW w:w="433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20C21BD" w14:textId="77777777" w:rsidR="00157BB8" w:rsidRPr="002428C4" w:rsidRDefault="004C3981" w:rsidP="00040178">
            <w:pPr>
              <w:spacing w:line="36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val="de-DE" w:eastAsia="en-GB"/>
              </w:rPr>
              <w:t>K</w:t>
            </w:r>
          </w:p>
        </w:tc>
        <w:tc>
          <w:tcPr>
            <w:tcW w:w="385" w:type="pct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677411A" w14:textId="77777777" w:rsidR="00157BB8" w:rsidRPr="002428C4" w:rsidRDefault="004C3981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sym w:font="Wingdings" w:char="F0FC"/>
            </w:r>
          </w:p>
        </w:tc>
        <w:tc>
          <w:tcPr>
            <w:tcW w:w="578" w:type="pct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8095C96" w14:textId="77777777" w:rsidR="00157BB8" w:rsidRPr="002428C4" w:rsidRDefault="004C3981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337" w:type="pct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A31ADAC" w14:textId="77777777" w:rsidR="00157BB8" w:rsidRPr="002428C4" w:rsidRDefault="004C3981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719" w:type="pct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EE08EC1" w14:textId="77777777" w:rsidR="00157BB8" w:rsidRPr="002428C4" w:rsidRDefault="004C3981" w:rsidP="00040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gramStart"/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t>75  )</w:t>
            </w:r>
            <w:proofErr w:type="gramEnd"/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97029D" w:rsidRPr="00E60CEB" w14:paraId="10A9D03D" w14:textId="77777777" w:rsidTr="0097029D">
        <w:trPr>
          <w:trHeight w:val="377"/>
        </w:trPr>
        <w:tc>
          <w:tcPr>
            <w:tcW w:w="816" w:type="pct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43D62C6" w14:textId="77777777" w:rsidR="004A1FC4" w:rsidRPr="002428C4" w:rsidRDefault="004A1FC4" w:rsidP="004A1FC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bCs/>
                <w:kern w:val="24"/>
                <w:sz w:val="20"/>
                <w:szCs w:val="20"/>
                <w:lang w:eastAsia="en-GB"/>
              </w:rPr>
              <w:t>OMNITRAC D</w:t>
            </w:r>
          </w:p>
        </w:tc>
        <w:tc>
          <w:tcPr>
            <w:tcW w:w="770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030C37" w14:textId="77777777" w:rsidR="004A1FC4" w:rsidRPr="002428C4" w:rsidRDefault="004A1FC4" w:rsidP="004A1FC4">
            <w:pPr>
              <w:spacing w:line="360" w:lineRule="auto"/>
              <w:textAlignment w:val="bottom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hAnsi="Arial" w:cs="Arial"/>
                <w:kern w:val="24"/>
                <w:sz w:val="20"/>
                <w:szCs w:val="20"/>
                <w:lang w:val="de-DE" w:eastAsia="en-GB"/>
              </w:rPr>
              <w:t>315/70 R 22.5</w:t>
            </w:r>
          </w:p>
        </w:tc>
        <w:tc>
          <w:tcPr>
            <w:tcW w:w="96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9F85BFE" w14:textId="77777777" w:rsidR="004A1FC4" w:rsidRPr="002428C4" w:rsidRDefault="004A1FC4" w:rsidP="004A1FC4">
            <w:pPr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hAnsi="Arial" w:cs="Arial"/>
                <w:kern w:val="24"/>
                <w:sz w:val="20"/>
                <w:szCs w:val="20"/>
                <w:lang w:val="de-DE" w:eastAsia="en-GB"/>
              </w:rPr>
              <w:t>154/150 (152/148)</w:t>
            </w:r>
          </w:p>
        </w:tc>
        <w:tc>
          <w:tcPr>
            <w:tcW w:w="433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7EDFA16" w14:textId="77777777" w:rsidR="004A1FC4" w:rsidRPr="002428C4" w:rsidRDefault="004A1FC4" w:rsidP="004A1FC4">
            <w:pPr>
              <w:spacing w:line="36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val="de-DE" w:eastAsia="en-GB"/>
              </w:rPr>
              <w:t>K (M)</w:t>
            </w:r>
          </w:p>
        </w:tc>
        <w:tc>
          <w:tcPr>
            <w:tcW w:w="385" w:type="pct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FA01487" w14:textId="77777777" w:rsidR="004A1FC4" w:rsidRPr="002428C4" w:rsidRDefault="004A1FC4" w:rsidP="004A1FC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8C4"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sym w:font="Wingdings" w:char="F0FC"/>
            </w:r>
          </w:p>
        </w:tc>
        <w:tc>
          <w:tcPr>
            <w:tcW w:w="1634" w:type="pct"/>
            <w:gridSpan w:val="3"/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B406686" w14:textId="77777777" w:rsidR="004A1FC4" w:rsidRPr="002428C4" w:rsidRDefault="004A1FC4" w:rsidP="004A1FC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Theme="minorEastAsia" w:hAnsi="Arial" w:cs="Arial"/>
                <w:kern w:val="24"/>
                <w:sz w:val="20"/>
                <w:szCs w:val="20"/>
                <w:lang w:eastAsia="en-GB"/>
              </w:rPr>
              <w:t>under development</w:t>
            </w:r>
          </w:p>
        </w:tc>
      </w:tr>
    </w:tbl>
    <w:p w14:paraId="56668CEB" w14:textId="77777777" w:rsidR="00452DA9" w:rsidRPr="0097029D" w:rsidRDefault="00B33C7A" w:rsidP="002428C4">
      <w:pPr>
        <w:pStyle w:val="Default"/>
        <w:spacing w:line="360" w:lineRule="auto"/>
        <w:jc w:val="both"/>
        <w:rPr>
          <w:b/>
          <w:color w:val="0055A4"/>
          <w:sz w:val="22"/>
          <w:szCs w:val="22"/>
        </w:rPr>
      </w:pPr>
      <w:r w:rsidRPr="0097029D">
        <w:rPr>
          <w:b/>
          <w:color w:val="0055A4"/>
          <w:sz w:val="22"/>
          <w:szCs w:val="22"/>
        </w:rPr>
        <w:lastRenderedPageBreak/>
        <w:t xml:space="preserve">Trailer </w:t>
      </w:r>
      <w:proofErr w:type="spellStart"/>
      <w:r w:rsidRPr="0097029D">
        <w:rPr>
          <w:b/>
          <w:color w:val="0055A4"/>
          <w:sz w:val="22"/>
          <w:szCs w:val="22"/>
        </w:rPr>
        <w:t>tyres</w:t>
      </w:r>
      <w:proofErr w:type="spellEnd"/>
    </w:p>
    <w:p w14:paraId="3738EA5D" w14:textId="401C3283" w:rsidR="00B33C7A" w:rsidRDefault="00B33C7A" w:rsidP="002428C4">
      <w:pPr>
        <w:pStyle w:val="Default"/>
        <w:spacing w:line="360" w:lineRule="auto"/>
        <w:jc w:val="both"/>
        <w:rPr>
          <w:rFonts w:ascii="EQCCO Y+ Helvetica Neue LT" w:eastAsiaTheme="minorHAnsi" w:hAnsi="EQCCO Y+ Helvetica Neue LT" w:cs="EQCCO Y+ Helvetica Neue LT"/>
          <w:sz w:val="18"/>
          <w:szCs w:val="18"/>
          <w:lang w:val="en-GB"/>
        </w:rPr>
      </w:pPr>
      <w:r>
        <w:rPr>
          <w:color w:val="00000A"/>
          <w:sz w:val="22"/>
          <w:szCs w:val="22"/>
        </w:rPr>
        <w:t xml:space="preserve">Goodyear OMNITRAC MST II </w:t>
      </w:r>
      <w:r w:rsidR="004C3981">
        <w:rPr>
          <w:color w:val="00000A"/>
          <w:sz w:val="22"/>
          <w:szCs w:val="22"/>
        </w:rPr>
        <w:t>385/65R22.5</w:t>
      </w:r>
      <w:r w:rsidR="00B9172B">
        <w:rPr>
          <w:color w:val="00000A"/>
          <w:sz w:val="22"/>
          <w:szCs w:val="22"/>
        </w:rPr>
        <w:t xml:space="preserve"> and 445/65R22.5</w:t>
      </w:r>
      <w:r w:rsidR="004C3981">
        <w:rPr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 xml:space="preserve">trailer </w:t>
      </w:r>
      <w:proofErr w:type="spellStart"/>
      <w:r>
        <w:rPr>
          <w:color w:val="00000A"/>
          <w:sz w:val="22"/>
          <w:szCs w:val="22"/>
        </w:rPr>
        <w:t>tyre</w:t>
      </w:r>
      <w:r w:rsidR="00B9172B">
        <w:rPr>
          <w:color w:val="00000A"/>
          <w:sz w:val="22"/>
          <w:szCs w:val="22"/>
        </w:rPr>
        <w:t>s</w:t>
      </w:r>
      <w:proofErr w:type="spellEnd"/>
      <w:r>
        <w:rPr>
          <w:color w:val="00000A"/>
          <w:sz w:val="22"/>
          <w:szCs w:val="22"/>
        </w:rPr>
        <w:t xml:space="preserve"> </w:t>
      </w:r>
      <w:r w:rsidR="00B9172B">
        <w:rPr>
          <w:color w:val="00000A"/>
          <w:sz w:val="22"/>
          <w:szCs w:val="22"/>
        </w:rPr>
        <w:t>complement</w:t>
      </w:r>
      <w:r>
        <w:rPr>
          <w:color w:val="00000A"/>
          <w:sz w:val="22"/>
          <w:szCs w:val="22"/>
        </w:rPr>
        <w:t xml:space="preserve"> the new OMNITRAC S </w:t>
      </w:r>
      <w:r w:rsidR="00C9556D">
        <w:rPr>
          <w:color w:val="00000A"/>
          <w:sz w:val="22"/>
          <w:szCs w:val="22"/>
        </w:rPr>
        <w:t>and</w:t>
      </w:r>
      <w:r>
        <w:rPr>
          <w:color w:val="00000A"/>
          <w:sz w:val="22"/>
          <w:szCs w:val="22"/>
        </w:rPr>
        <w:t xml:space="preserve"> D </w:t>
      </w:r>
      <w:proofErr w:type="spellStart"/>
      <w:r w:rsidRPr="000817F0">
        <w:rPr>
          <w:color w:val="00000A"/>
          <w:sz w:val="22"/>
          <w:szCs w:val="22"/>
        </w:rPr>
        <w:t>tyres</w:t>
      </w:r>
      <w:proofErr w:type="spellEnd"/>
      <w:r w:rsidR="000817F0">
        <w:rPr>
          <w:color w:val="00000A"/>
          <w:sz w:val="22"/>
          <w:szCs w:val="22"/>
        </w:rPr>
        <w:t xml:space="preserve"> offering h</w:t>
      </w:r>
      <w:r w:rsidR="000817F0" w:rsidRPr="000817F0">
        <w:rPr>
          <w:color w:val="00000A"/>
          <w:sz w:val="22"/>
          <w:szCs w:val="22"/>
        </w:rPr>
        <w:t>igh mileage and enhanced grip for on</w:t>
      </w:r>
      <w:r w:rsidR="00EC75CC">
        <w:rPr>
          <w:color w:val="00000A"/>
          <w:sz w:val="22"/>
          <w:szCs w:val="22"/>
        </w:rPr>
        <w:t>-</w:t>
      </w:r>
      <w:r w:rsidR="000817F0" w:rsidRPr="000817F0">
        <w:rPr>
          <w:color w:val="00000A"/>
          <w:sz w:val="22"/>
          <w:szCs w:val="22"/>
        </w:rPr>
        <w:t xml:space="preserve"> and off-road applications.</w:t>
      </w:r>
      <w:r w:rsidRPr="000817F0">
        <w:rPr>
          <w:color w:val="00000A"/>
          <w:sz w:val="22"/>
          <w:szCs w:val="22"/>
        </w:rPr>
        <w:t xml:space="preserve">  </w:t>
      </w:r>
      <w:r w:rsidR="00B9172B">
        <w:rPr>
          <w:color w:val="00000A"/>
          <w:sz w:val="22"/>
          <w:szCs w:val="22"/>
        </w:rPr>
        <w:t>The</w:t>
      </w:r>
      <w:r w:rsidR="004C3981" w:rsidRPr="000817F0">
        <w:rPr>
          <w:color w:val="00000A"/>
          <w:sz w:val="22"/>
          <w:szCs w:val="22"/>
        </w:rPr>
        <w:t>s</w:t>
      </w:r>
      <w:r w:rsidR="00B9172B">
        <w:rPr>
          <w:color w:val="00000A"/>
          <w:sz w:val="22"/>
          <w:szCs w:val="22"/>
        </w:rPr>
        <w:t>e</w:t>
      </w:r>
      <w:r w:rsidR="004C3981" w:rsidRPr="000817F0">
        <w:rPr>
          <w:color w:val="00000A"/>
          <w:sz w:val="22"/>
          <w:szCs w:val="22"/>
        </w:rPr>
        <w:t xml:space="preserve"> </w:t>
      </w:r>
      <w:proofErr w:type="spellStart"/>
      <w:r w:rsidR="004C3981" w:rsidRPr="000817F0">
        <w:rPr>
          <w:color w:val="00000A"/>
          <w:sz w:val="22"/>
          <w:szCs w:val="22"/>
        </w:rPr>
        <w:t>tyre</w:t>
      </w:r>
      <w:r w:rsidR="00B9172B">
        <w:rPr>
          <w:color w:val="00000A"/>
          <w:sz w:val="22"/>
          <w:szCs w:val="22"/>
        </w:rPr>
        <w:t>s</w:t>
      </w:r>
      <w:proofErr w:type="spellEnd"/>
      <w:r w:rsidRPr="000817F0">
        <w:rPr>
          <w:color w:val="00000A"/>
          <w:sz w:val="22"/>
          <w:szCs w:val="22"/>
        </w:rPr>
        <w:t xml:space="preserve"> feature a wid</w:t>
      </w:r>
      <w:r w:rsidRPr="00B33C7A">
        <w:rPr>
          <w:color w:val="00000A"/>
          <w:sz w:val="22"/>
          <w:szCs w:val="22"/>
        </w:rPr>
        <w:t xml:space="preserve">e tread </w:t>
      </w:r>
      <w:r w:rsidR="00B64E08">
        <w:rPr>
          <w:color w:val="00000A"/>
          <w:sz w:val="22"/>
          <w:szCs w:val="22"/>
        </w:rPr>
        <w:t>and offer</w:t>
      </w:r>
      <w:r w:rsidRPr="00B33C7A">
        <w:rPr>
          <w:color w:val="00000A"/>
          <w:sz w:val="22"/>
          <w:szCs w:val="22"/>
        </w:rPr>
        <w:t xml:space="preserve"> even wear and </w:t>
      </w:r>
      <w:r w:rsidR="00B64E08">
        <w:rPr>
          <w:color w:val="00000A"/>
          <w:sz w:val="22"/>
          <w:szCs w:val="22"/>
        </w:rPr>
        <w:t>high</w:t>
      </w:r>
      <w:r w:rsidR="00B64E08" w:rsidRPr="00B33C7A">
        <w:rPr>
          <w:color w:val="00000A"/>
          <w:sz w:val="22"/>
          <w:szCs w:val="22"/>
        </w:rPr>
        <w:t xml:space="preserve"> </w:t>
      </w:r>
      <w:r w:rsidRPr="00B33C7A">
        <w:rPr>
          <w:color w:val="00000A"/>
          <w:sz w:val="22"/>
          <w:szCs w:val="22"/>
        </w:rPr>
        <w:t>mileage potential</w:t>
      </w:r>
      <w:r>
        <w:rPr>
          <w:color w:val="00000A"/>
          <w:sz w:val="22"/>
          <w:szCs w:val="22"/>
        </w:rPr>
        <w:t xml:space="preserve"> </w:t>
      </w:r>
      <w:r w:rsidR="00B64E08">
        <w:rPr>
          <w:color w:val="00000A"/>
          <w:sz w:val="22"/>
          <w:szCs w:val="22"/>
        </w:rPr>
        <w:t>combined with</w:t>
      </w:r>
      <w:r w:rsidR="00B64E08" w:rsidRPr="00B33C7A">
        <w:rPr>
          <w:color w:val="00000A"/>
          <w:sz w:val="22"/>
          <w:szCs w:val="22"/>
        </w:rPr>
        <w:t xml:space="preserve"> </w:t>
      </w:r>
      <w:r w:rsidRPr="00B33C7A">
        <w:rPr>
          <w:color w:val="00000A"/>
          <w:sz w:val="22"/>
          <w:szCs w:val="22"/>
        </w:rPr>
        <w:t>excellent damage resistance and high stability</w:t>
      </w:r>
      <w:r w:rsidRPr="00B33C7A">
        <w:rPr>
          <w:rFonts w:ascii="EQCCO Y+ Helvetica Neue LT" w:eastAsiaTheme="minorHAnsi" w:hAnsi="EQCCO Y+ Helvetica Neue LT" w:cs="EQCCO Y+ Helvetica Neue LT"/>
          <w:sz w:val="18"/>
          <w:szCs w:val="18"/>
          <w:lang w:val="en-GB"/>
        </w:rPr>
        <w:t>.</w:t>
      </w:r>
      <w:r w:rsidR="004C3981">
        <w:rPr>
          <w:rFonts w:ascii="EQCCO Y+ Helvetica Neue LT" w:eastAsiaTheme="minorHAnsi" w:hAnsi="EQCCO Y+ Helvetica Neue LT" w:cs="EQCCO Y+ Helvetica Neue LT"/>
          <w:sz w:val="18"/>
          <w:szCs w:val="18"/>
          <w:lang w:val="en-GB"/>
        </w:rPr>
        <w:t xml:space="preserve">  </w:t>
      </w:r>
    </w:p>
    <w:p w14:paraId="1D83C735" w14:textId="77777777" w:rsidR="00FD138C" w:rsidRPr="0097029D" w:rsidRDefault="00FD138C" w:rsidP="002428C4">
      <w:pPr>
        <w:pStyle w:val="Default"/>
        <w:spacing w:line="360" w:lineRule="auto"/>
        <w:jc w:val="both"/>
        <w:rPr>
          <w:b/>
          <w:color w:val="0055A4"/>
          <w:sz w:val="22"/>
          <w:szCs w:val="22"/>
        </w:rPr>
      </w:pPr>
      <w:r w:rsidRPr="0097029D">
        <w:rPr>
          <w:b/>
          <w:color w:val="0055A4"/>
          <w:sz w:val="22"/>
          <w:szCs w:val="22"/>
        </w:rPr>
        <w:t>Availability</w:t>
      </w:r>
    </w:p>
    <w:p w14:paraId="637DF26D" w14:textId="714FB489" w:rsidR="00040178" w:rsidRDefault="00FD138C" w:rsidP="002428C4">
      <w:pPr>
        <w:pStyle w:val="Default"/>
        <w:spacing w:line="360" w:lineRule="auto"/>
        <w:jc w:val="both"/>
        <w:rPr>
          <w:b/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The OMNITRAC range </w:t>
      </w:r>
      <w:r w:rsidR="00041CF3">
        <w:rPr>
          <w:color w:val="00000A"/>
          <w:sz w:val="22"/>
          <w:szCs w:val="22"/>
        </w:rPr>
        <w:t xml:space="preserve">and </w:t>
      </w:r>
      <w:proofErr w:type="spellStart"/>
      <w:r w:rsidR="00041CF3">
        <w:rPr>
          <w:color w:val="00000A"/>
          <w:sz w:val="22"/>
          <w:szCs w:val="22"/>
        </w:rPr>
        <w:t>TreadMax</w:t>
      </w:r>
      <w:proofErr w:type="spellEnd"/>
      <w:r w:rsidR="00041CF3">
        <w:rPr>
          <w:color w:val="00000A"/>
          <w:sz w:val="22"/>
          <w:szCs w:val="22"/>
        </w:rPr>
        <w:t xml:space="preserve"> </w:t>
      </w:r>
      <w:r w:rsidR="00727512" w:rsidRPr="00132A73">
        <w:rPr>
          <w:color w:val="00000A"/>
          <w:sz w:val="22"/>
          <w:szCs w:val="22"/>
          <w:lang w:val="en-GB"/>
        </w:rPr>
        <w:t>mo</w:t>
      </w:r>
      <w:r w:rsidR="00B64E08" w:rsidRPr="00132A73">
        <w:rPr>
          <w:color w:val="00000A"/>
          <w:sz w:val="22"/>
          <w:szCs w:val="22"/>
          <w:lang w:val="en-GB"/>
        </w:rPr>
        <w:t>u</w:t>
      </w:r>
      <w:r w:rsidR="00727512" w:rsidRPr="00132A73">
        <w:rPr>
          <w:color w:val="00000A"/>
          <w:sz w:val="22"/>
          <w:szCs w:val="22"/>
          <w:lang w:val="en-GB"/>
        </w:rPr>
        <w:t>ld</w:t>
      </w:r>
      <w:r w:rsidR="00727512">
        <w:rPr>
          <w:color w:val="00000A"/>
          <w:sz w:val="22"/>
          <w:szCs w:val="22"/>
        </w:rPr>
        <w:t xml:space="preserve"> </w:t>
      </w:r>
      <w:r w:rsidR="00041CF3">
        <w:rPr>
          <w:color w:val="00000A"/>
          <w:sz w:val="22"/>
          <w:szCs w:val="22"/>
        </w:rPr>
        <w:t xml:space="preserve">cure retread versions </w:t>
      </w:r>
      <w:r w:rsidR="00761369">
        <w:rPr>
          <w:color w:val="00000A"/>
          <w:sz w:val="22"/>
          <w:szCs w:val="22"/>
        </w:rPr>
        <w:t>will be</w:t>
      </w:r>
      <w:r w:rsidR="00041CF3">
        <w:rPr>
          <w:color w:val="00000A"/>
          <w:sz w:val="22"/>
          <w:szCs w:val="22"/>
        </w:rPr>
        <w:t xml:space="preserve"> </w:t>
      </w:r>
      <w:r w:rsidR="00925C4F">
        <w:rPr>
          <w:color w:val="00000A"/>
          <w:sz w:val="22"/>
          <w:szCs w:val="22"/>
        </w:rPr>
        <w:t>available from</w:t>
      </w:r>
      <w:r w:rsidR="00041CF3">
        <w:rPr>
          <w:color w:val="00000A"/>
          <w:sz w:val="22"/>
          <w:szCs w:val="22"/>
        </w:rPr>
        <w:t xml:space="preserve"> early December 2018.</w:t>
      </w:r>
    </w:p>
    <w:p w14:paraId="71CA25F2" w14:textId="77777777" w:rsidR="000D4766" w:rsidRPr="0097029D" w:rsidRDefault="000D4766" w:rsidP="002428C4">
      <w:pPr>
        <w:pStyle w:val="Default"/>
        <w:spacing w:line="360" w:lineRule="auto"/>
        <w:jc w:val="both"/>
        <w:rPr>
          <w:b/>
          <w:color w:val="0055A4"/>
          <w:sz w:val="22"/>
          <w:szCs w:val="22"/>
        </w:rPr>
      </w:pPr>
      <w:r w:rsidRPr="0097029D">
        <w:rPr>
          <w:b/>
          <w:color w:val="0055A4"/>
          <w:sz w:val="22"/>
          <w:szCs w:val="22"/>
        </w:rPr>
        <w:t>Goodyear Proactive Solutions</w:t>
      </w:r>
    </w:p>
    <w:p w14:paraId="731EB9C2" w14:textId="77777777" w:rsidR="00040178" w:rsidRDefault="000D4766" w:rsidP="009A0661">
      <w:pPr>
        <w:pStyle w:val="Default"/>
        <w:spacing w:after="80"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T</w:t>
      </w:r>
      <w:r w:rsidRPr="009527E4">
        <w:rPr>
          <w:color w:val="00000A"/>
          <w:sz w:val="22"/>
          <w:szCs w:val="22"/>
        </w:rPr>
        <w:t xml:space="preserve">o get the best performance from any </w:t>
      </w:r>
      <w:proofErr w:type="spellStart"/>
      <w:r w:rsidRPr="009527E4">
        <w:rPr>
          <w:color w:val="00000A"/>
          <w:sz w:val="22"/>
          <w:szCs w:val="22"/>
        </w:rPr>
        <w:t>tyres</w:t>
      </w:r>
      <w:proofErr w:type="spellEnd"/>
      <w:r w:rsidRPr="009527E4">
        <w:rPr>
          <w:color w:val="00000A"/>
          <w:sz w:val="22"/>
          <w:szCs w:val="22"/>
        </w:rPr>
        <w:t xml:space="preserve">, </w:t>
      </w:r>
      <w:r w:rsidR="00761369">
        <w:rPr>
          <w:color w:val="00000A"/>
          <w:sz w:val="22"/>
          <w:szCs w:val="22"/>
        </w:rPr>
        <w:t>particularly in</w:t>
      </w:r>
      <w:r w:rsidR="00761369" w:rsidRPr="002D051F">
        <w:rPr>
          <w:color w:val="00000A"/>
          <w:sz w:val="22"/>
          <w:szCs w:val="22"/>
        </w:rPr>
        <w:t xml:space="preserve"> mixed-service</w:t>
      </w:r>
      <w:r w:rsidR="00761369">
        <w:rPr>
          <w:color w:val="00000A"/>
          <w:sz w:val="22"/>
          <w:szCs w:val="22"/>
        </w:rPr>
        <w:t>,</w:t>
      </w:r>
      <w:r w:rsidR="00761369" w:rsidRPr="008822B2">
        <w:rPr>
          <w:color w:val="00000A"/>
          <w:sz w:val="22"/>
          <w:szCs w:val="22"/>
        </w:rPr>
        <w:t xml:space="preserve"> </w:t>
      </w:r>
      <w:r w:rsidRPr="009527E4">
        <w:rPr>
          <w:color w:val="00000A"/>
          <w:sz w:val="22"/>
          <w:szCs w:val="22"/>
        </w:rPr>
        <w:t>correct maintenance is of paramount importance.</w:t>
      </w:r>
      <w:r>
        <w:rPr>
          <w:color w:val="00000A"/>
          <w:sz w:val="22"/>
          <w:szCs w:val="22"/>
        </w:rPr>
        <w:t xml:space="preserve"> </w:t>
      </w:r>
      <w:r w:rsidR="00B311AF">
        <w:rPr>
          <w:color w:val="00000A"/>
          <w:sz w:val="22"/>
          <w:szCs w:val="22"/>
        </w:rPr>
        <w:t xml:space="preserve"> </w:t>
      </w:r>
      <w:r w:rsidR="00DD6FFC">
        <w:rPr>
          <w:color w:val="00000A"/>
          <w:sz w:val="22"/>
          <w:szCs w:val="22"/>
        </w:rPr>
        <w:t xml:space="preserve">Goodyear recommends fleets to combine the use of high quality </w:t>
      </w:r>
      <w:proofErr w:type="spellStart"/>
      <w:r w:rsidR="00DD6FFC">
        <w:rPr>
          <w:color w:val="00000A"/>
          <w:sz w:val="22"/>
          <w:szCs w:val="22"/>
        </w:rPr>
        <w:t>t</w:t>
      </w:r>
      <w:r w:rsidR="00E6623A">
        <w:rPr>
          <w:color w:val="00000A"/>
          <w:sz w:val="22"/>
          <w:szCs w:val="22"/>
        </w:rPr>
        <w:t>y</w:t>
      </w:r>
      <w:r w:rsidR="00DD6FFC">
        <w:rPr>
          <w:color w:val="00000A"/>
          <w:sz w:val="22"/>
          <w:szCs w:val="22"/>
        </w:rPr>
        <w:t>res</w:t>
      </w:r>
      <w:proofErr w:type="spellEnd"/>
      <w:r w:rsidR="00DD6FFC">
        <w:rPr>
          <w:color w:val="00000A"/>
          <w:sz w:val="22"/>
          <w:szCs w:val="22"/>
        </w:rPr>
        <w:t xml:space="preserve"> with the right</w:t>
      </w:r>
      <w:r w:rsidR="00DD6FFC" w:rsidRPr="00DD6FFC">
        <w:rPr>
          <w:color w:val="00000A"/>
          <w:sz w:val="22"/>
          <w:szCs w:val="22"/>
        </w:rPr>
        <w:t xml:space="preserve"> service and solutions.</w:t>
      </w:r>
      <w:r w:rsidR="00B311AF">
        <w:rPr>
          <w:color w:val="00000A"/>
          <w:sz w:val="22"/>
          <w:szCs w:val="22"/>
        </w:rPr>
        <w:t xml:space="preserve"> </w:t>
      </w:r>
      <w:r w:rsidR="00E6623A">
        <w:rPr>
          <w:color w:val="00000A"/>
          <w:sz w:val="22"/>
          <w:szCs w:val="22"/>
        </w:rPr>
        <w:t>F</w:t>
      </w:r>
      <w:r w:rsidR="00DD6FFC" w:rsidRPr="00DD6FFC">
        <w:rPr>
          <w:color w:val="00000A"/>
          <w:sz w:val="22"/>
          <w:szCs w:val="22"/>
        </w:rPr>
        <w:t>or mixed-service applications</w:t>
      </w:r>
      <w:r w:rsidR="00E6623A">
        <w:rPr>
          <w:color w:val="00000A"/>
          <w:sz w:val="22"/>
          <w:szCs w:val="22"/>
        </w:rPr>
        <w:t xml:space="preserve">, </w:t>
      </w:r>
      <w:r w:rsidR="00DD6FFC" w:rsidRPr="00DD6FFC">
        <w:rPr>
          <w:color w:val="00000A"/>
          <w:sz w:val="22"/>
          <w:szCs w:val="22"/>
        </w:rPr>
        <w:t xml:space="preserve">Goodyear Proactive Solutions </w:t>
      </w:r>
      <w:r w:rsidR="00E6623A">
        <w:rPr>
          <w:color w:val="00000A"/>
          <w:sz w:val="22"/>
          <w:szCs w:val="22"/>
        </w:rPr>
        <w:t xml:space="preserve">is </w:t>
      </w:r>
      <w:r w:rsidR="00C9556D">
        <w:rPr>
          <w:color w:val="00000A"/>
          <w:sz w:val="22"/>
          <w:szCs w:val="22"/>
        </w:rPr>
        <w:t xml:space="preserve">particularly </w:t>
      </w:r>
      <w:r w:rsidR="00E6623A">
        <w:rPr>
          <w:color w:val="00000A"/>
          <w:sz w:val="22"/>
          <w:szCs w:val="22"/>
        </w:rPr>
        <w:t xml:space="preserve">of </w:t>
      </w:r>
      <w:r w:rsidR="00DD6FFC" w:rsidRPr="00DD6FFC">
        <w:rPr>
          <w:color w:val="00000A"/>
          <w:sz w:val="22"/>
          <w:szCs w:val="22"/>
        </w:rPr>
        <w:t>great benefit.</w:t>
      </w:r>
    </w:p>
    <w:p w14:paraId="7CC949A0" w14:textId="77777777" w:rsidR="00761369" w:rsidRPr="009527E4" w:rsidRDefault="00761369" w:rsidP="009A0661">
      <w:pPr>
        <w:pStyle w:val="Default"/>
        <w:spacing w:after="80" w:line="360" w:lineRule="auto"/>
        <w:jc w:val="both"/>
        <w:rPr>
          <w:color w:val="00000A"/>
          <w:sz w:val="22"/>
          <w:szCs w:val="22"/>
        </w:rPr>
      </w:pPr>
      <w:r w:rsidRPr="009527E4">
        <w:rPr>
          <w:color w:val="00000A"/>
          <w:sz w:val="22"/>
          <w:szCs w:val="22"/>
        </w:rPr>
        <w:t xml:space="preserve">Goodyear Proactive Solutions is a full suite of data-based solutions, featuring advanced telematics and patented predictive analytics technology, able to provide commercial fleets with precise, real-time monitoring of </w:t>
      </w:r>
      <w:proofErr w:type="spellStart"/>
      <w:r w:rsidRPr="009527E4">
        <w:rPr>
          <w:color w:val="00000A"/>
          <w:sz w:val="22"/>
          <w:szCs w:val="22"/>
        </w:rPr>
        <w:t>tyres</w:t>
      </w:r>
      <w:proofErr w:type="spellEnd"/>
      <w:r w:rsidRPr="009527E4">
        <w:rPr>
          <w:color w:val="00000A"/>
          <w:sz w:val="22"/>
          <w:szCs w:val="22"/>
        </w:rPr>
        <w:t>.</w:t>
      </w:r>
    </w:p>
    <w:p w14:paraId="511A6C98" w14:textId="77777777" w:rsidR="000D4766" w:rsidRDefault="000D4766" w:rsidP="009A0661">
      <w:pPr>
        <w:pStyle w:val="Default"/>
        <w:spacing w:after="80" w:line="360" w:lineRule="auto"/>
        <w:jc w:val="both"/>
        <w:rPr>
          <w:color w:val="00000A"/>
          <w:sz w:val="22"/>
          <w:szCs w:val="22"/>
        </w:rPr>
      </w:pPr>
      <w:proofErr w:type="gramStart"/>
      <w:r>
        <w:rPr>
          <w:color w:val="00000A"/>
          <w:sz w:val="22"/>
          <w:szCs w:val="22"/>
        </w:rPr>
        <w:t>I</w:t>
      </w:r>
      <w:r w:rsidRPr="009527E4">
        <w:rPr>
          <w:color w:val="00000A"/>
          <w:sz w:val="22"/>
          <w:szCs w:val="22"/>
        </w:rPr>
        <w:t>n particular, Goodyear TPMS</w:t>
      </w:r>
      <w:proofErr w:type="gramEnd"/>
      <w:r w:rsidRPr="009527E4">
        <w:rPr>
          <w:color w:val="00000A"/>
          <w:sz w:val="22"/>
          <w:szCs w:val="22"/>
        </w:rPr>
        <w:t xml:space="preserve"> (</w:t>
      </w:r>
      <w:proofErr w:type="spellStart"/>
      <w:r w:rsidRPr="009527E4">
        <w:rPr>
          <w:color w:val="00000A"/>
          <w:sz w:val="22"/>
          <w:szCs w:val="22"/>
        </w:rPr>
        <w:t>Tyre</w:t>
      </w:r>
      <w:proofErr w:type="spellEnd"/>
      <w:r w:rsidRPr="009527E4">
        <w:rPr>
          <w:color w:val="00000A"/>
          <w:sz w:val="22"/>
          <w:szCs w:val="22"/>
        </w:rPr>
        <w:t xml:space="preserve"> Pressure Monitoring System) enables OMNITRAC </w:t>
      </w:r>
      <w:proofErr w:type="spellStart"/>
      <w:r w:rsidRPr="009527E4">
        <w:rPr>
          <w:color w:val="00000A"/>
          <w:sz w:val="22"/>
          <w:szCs w:val="22"/>
        </w:rPr>
        <w:t>tyre</w:t>
      </w:r>
      <w:proofErr w:type="spellEnd"/>
      <w:r w:rsidRPr="009527E4">
        <w:rPr>
          <w:color w:val="00000A"/>
          <w:sz w:val="22"/>
          <w:szCs w:val="22"/>
        </w:rPr>
        <w:t xml:space="preserve"> performance to be </w:t>
      </w:r>
      <w:r w:rsidRPr="00934A64">
        <w:rPr>
          <w:color w:val="00000A"/>
          <w:sz w:val="22"/>
          <w:szCs w:val="22"/>
          <w:lang w:val="en-GB"/>
        </w:rPr>
        <w:t>optimised</w:t>
      </w:r>
      <w:r w:rsidRPr="009527E4">
        <w:rPr>
          <w:color w:val="00000A"/>
          <w:sz w:val="22"/>
          <w:szCs w:val="22"/>
        </w:rPr>
        <w:t xml:space="preserve"> even further to assure greater piece of mind for fleets – especially in remote locations. </w:t>
      </w:r>
      <w:r>
        <w:rPr>
          <w:color w:val="00000A"/>
          <w:sz w:val="22"/>
          <w:szCs w:val="22"/>
        </w:rPr>
        <w:t xml:space="preserve"> Thanks to advanced </w:t>
      </w:r>
      <w:r w:rsidR="00761369">
        <w:rPr>
          <w:color w:val="00000A"/>
          <w:sz w:val="22"/>
          <w:szCs w:val="22"/>
        </w:rPr>
        <w:t>telematics</w:t>
      </w:r>
      <w:r>
        <w:rPr>
          <w:color w:val="00000A"/>
          <w:sz w:val="22"/>
          <w:szCs w:val="22"/>
        </w:rPr>
        <w:t xml:space="preserve"> and Goodyear’s unique algorithm</w:t>
      </w:r>
      <w:r w:rsidR="00761369">
        <w:rPr>
          <w:color w:val="00000A"/>
          <w:sz w:val="22"/>
          <w:szCs w:val="22"/>
        </w:rPr>
        <w:t xml:space="preserve">, </w:t>
      </w:r>
      <w:r w:rsidRPr="00E31E03">
        <w:rPr>
          <w:color w:val="00000A"/>
          <w:sz w:val="22"/>
          <w:szCs w:val="22"/>
        </w:rPr>
        <w:t>Goodyear Proactive Solutions</w:t>
      </w:r>
      <w:r>
        <w:rPr>
          <w:color w:val="00000A"/>
          <w:sz w:val="22"/>
          <w:szCs w:val="22"/>
        </w:rPr>
        <w:t xml:space="preserve"> can constantly monitor </w:t>
      </w:r>
      <w:r w:rsidR="00761369">
        <w:rPr>
          <w:color w:val="00000A"/>
          <w:sz w:val="22"/>
          <w:szCs w:val="22"/>
        </w:rPr>
        <w:t xml:space="preserve">the </w:t>
      </w:r>
      <w:proofErr w:type="spellStart"/>
      <w:r>
        <w:rPr>
          <w:color w:val="00000A"/>
          <w:sz w:val="22"/>
          <w:szCs w:val="22"/>
        </w:rPr>
        <w:t>tyre</w:t>
      </w:r>
      <w:r w:rsidR="00761369">
        <w:rPr>
          <w:color w:val="00000A"/>
          <w:sz w:val="22"/>
          <w:szCs w:val="22"/>
        </w:rPr>
        <w:t>s</w:t>
      </w:r>
      <w:proofErr w:type="spellEnd"/>
      <w:r>
        <w:rPr>
          <w:color w:val="00000A"/>
          <w:sz w:val="22"/>
          <w:szCs w:val="22"/>
        </w:rPr>
        <w:t xml:space="preserve"> and give instant warnings if </w:t>
      </w:r>
      <w:proofErr w:type="spellStart"/>
      <w:r>
        <w:rPr>
          <w:color w:val="00000A"/>
          <w:sz w:val="22"/>
          <w:szCs w:val="22"/>
        </w:rPr>
        <w:t>tyre</w:t>
      </w:r>
      <w:proofErr w:type="spellEnd"/>
      <w:r>
        <w:rPr>
          <w:color w:val="00000A"/>
          <w:sz w:val="22"/>
          <w:szCs w:val="22"/>
        </w:rPr>
        <w:t xml:space="preserve"> pressure or temperature fails to meet acceptable parameters.</w:t>
      </w:r>
    </w:p>
    <w:p w14:paraId="7DC4EB97" w14:textId="77777777" w:rsidR="00B311AF" w:rsidRPr="009527E4" w:rsidRDefault="00B311AF" w:rsidP="00040178">
      <w:pPr>
        <w:pStyle w:val="Default"/>
        <w:spacing w:line="360" w:lineRule="auto"/>
        <w:jc w:val="both"/>
        <w:rPr>
          <w:color w:val="00000A"/>
          <w:sz w:val="22"/>
          <w:szCs w:val="22"/>
        </w:rPr>
      </w:pPr>
    </w:p>
    <w:p w14:paraId="068F0109" w14:textId="77777777" w:rsidR="00C75B1D" w:rsidRDefault="00C80912" w:rsidP="00934A64">
      <w:pPr>
        <w:pStyle w:val="Default"/>
        <w:spacing w:after="120"/>
        <w:jc w:val="both"/>
        <w:rPr>
          <w:b/>
          <w:sz w:val="18"/>
          <w:szCs w:val="20"/>
          <w:lang w:eastAsia="en-GB"/>
        </w:rPr>
      </w:pPr>
      <w:r>
        <w:rPr>
          <w:b/>
          <w:sz w:val="18"/>
          <w:szCs w:val="20"/>
          <w:lang w:eastAsia="en-GB"/>
        </w:rPr>
        <w:t>About Goodyear</w:t>
      </w:r>
    </w:p>
    <w:p w14:paraId="37276F71" w14:textId="77777777" w:rsidR="00041CF3" w:rsidRDefault="00C80912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Goodyear is one of the world’s largest </w:t>
      </w:r>
      <w:proofErr w:type="spellStart"/>
      <w:r w:rsidR="00407950">
        <w:rPr>
          <w:rFonts w:ascii="Arial" w:hAnsi="Arial" w:cs="Arial"/>
          <w:color w:val="000000"/>
          <w:sz w:val="18"/>
          <w:szCs w:val="18"/>
          <w:lang w:eastAsia="en-GB"/>
        </w:rPr>
        <w:t>tyre</w:t>
      </w:r>
      <w:proofErr w:type="spellEnd"/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 companies. It employs about 64,000 people and manufactures its products in 48 facilities in 22 countries around the world. Its two Innovation </w:t>
      </w:r>
      <w:r w:rsidRPr="009A0661">
        <w:rPr>
          <w:rFonts w:ascii="Arial" w:hAnsi="Arial" w:cs="Arial"/>
          <w:color w:val="000000"/>
          <w:sz w:val="18"/>
          <w:szCs w:val="18"/>
          <w:lang w:val="en-GB" w:eastAsia="en-GB"/>
        </w:rPr>
        <w:t>Cent</w:t>
      </w:r>
      <w:r w:rsidR="00C9556D" w:rsidRPr="009A0661">
        <w:rPr>
          <w:rFonts w:ascii="Arial" w:hAnsi="Arial" w:cs="Arial"/>
          <w:color w:val="000000"/>
          <w:sz w:val="18"/>
          <w:szCs w:val="18"/>
          <w:lang w:val="en-GB" w:eastAsia="en-GB"/>
        </w:rPr>
        <w:t>re</w:t>
      </w:r>
      <w:r w:rsidRPr="009A0661">
        <w:rPr>
          <w:rFonts w:ascii="Arial" w:hAnsi="Arial" w:cs="Arial"/>
          <w:color w:val="000000"/>
          <w:sz w:val="18"/>
          <w:szCs w:val="18"/>
          <w:lang w:val="en-GB" w:eastAsia="en-GB"/>
        </w:rPr>
        <w:t>s</w:t>
      </w:r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 in Akron, Ohio and Colmar-Berg, Luxembourg strive to develop state-of-the-art products and services that set the technology and performance standard for the industry. For more information about Goodyear and its products, go to </w:t>
      </w:r>
      <w:r w:rsidRPr="00E77051">
        <w:rPr>
          <w:rStyle w:val="Internetovodkaz"/>
          <w:rFonts w:ascii="Arial" w:hAnsi="Arial" w:cs="Arial"/>
          <w:color w:val="000000"/>
          <w:sz w:val="18"/>
          <w:szCs w:val="18"/>
          <w:u w:val="none"/>
          <w:lang w:eastAsia="en-GB"/>
        </w:rPr>
        <w:t>www.goodyear.com/corporate</w:t>
      </w:r>
      <w:r w:rsidRPr="00E77051">
        <w:rPr>
          <w:rFonts w:ascii="Arial" w:hAnsi="Arial" w:cs="Arial"/>
          <w:color w:val="000000"/>
          <w:sz w:val="18"/>
          <w:szCs w:val="18"/>
          <w:lang w:eastAsia="en-GB"/>
        </w:rPr>
        <w:t>.</w:t>
      </w:r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  </w:t>
      </w:r>
    </w:p>
    <w:p w14:paraId="3157D153" w14:textId="08D4BD6A" w:rsidR="00CD7B34" w:rsidRPr="0097029D" w:rsidRDefault="00CD7B34" w:rsidP="0097029D">
      <w:pPr>
        <w:rPr>
          <w:rFonts w:ascii="Arial" w:hAnsi="Arial" w:cs="Arial"/>
          <w:color w:val="000000"/>
          <w:sz w:val="18"/>
          <w:szCs w:val="18"/>
          <w:lang w:eastAsia="en-GB"/>
        </w:rPr>
      </w:pPr>
    </w:p>
    <w:sectPr w:rsidR="00CD7B34" w:rsidRPr="0097029D" w:rsidSect="009119BA">
      <w:headerReference w:type="default" r:id="rId8"/>
      <w:footerReference w:type="default" r:id="rId9"/>
      <w:pgSz w:w="12240" w:h="15840"/>
      <w:pgMar w:top="1135" w:right="1440" w:bottom="993" w:left="1440" w:header="72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8E3B" w14:textId="77777777" w:rsidR="00B6276F" w:rsidRDefault="00B6276F">
      <w:r>
        <w:separator/>
      </w:r>
    </w:p>
  </w:endnote>
  <w:endnote w:type="continuationSeparator" w:id="0">
    <w:p w14:paraId="47365EB0" w14:textId="77777777" w:rsidR="00B6276F" w:rsidRDefault="00B6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EQCCO Y+ Helvetica Neue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78517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14:paraId="01B84C7C" w14:textId="3A567F53" w:rsidR="00CE07E0" w:rsidRPr="00CE07E0" w:rsidRDefault="00CE07E0">
        <w:pPr>
          <w:pStyle w:val="Footer"/>
          <w:jc w:val="right"/>
          <w:rPr>
            <w:rFonts w:ascii="Arial" w:hAnsi="Arial" w:cs="Arial"/>
            <w:sz w:val="18"/>
          </w:rPr>
        </w:pPr>
        <w:r w:rsidRPr="00CE07E0">
          <w:rPr>
            <w:rFonts w:ascii="Arial" w:hAnsi="Arial" w:cs="Arial"/>
            <w:sz w:val="18"/>
          </w:rPr>
          <w:fldChar w:fldCharType="begin"/>
        </w:r>
        <w:r w:rsidRPr="00CE07E0">
          <w:rPr>
            <w:rFonts w:ascii="Arial" w:hAnsi="Arial" w:cs="Arial"/>
            <w:sz w:val="18"/>
          </w:rPr>
          <w:instrText xml:space="preserve"> PAGE   \* MERGEFORMAT </w:instrText>
        </w:r>
        <w:r w:rsidRPr="00CE07E0">
          <w:rPr>
            <w:rFonts w:ascii="Arial" w:hAnsi="Arial" w:cs="Arial"/>
            <w:sz w:val="18"/>
          </w:rPr>
          <w:fldChar w:fldCharType="separate"/>
        </w:r>
        <w:r w:rsidRPr="00CE07E0">
          <w:rPr>
            <w:rFonts w:ascii="Arial" w:hAnsi="Arial" w:cs="Arial"/>
            <w:noProof/>
            <w:sz w:val="18"/>
          </w:rPr>
          <w:t>2</w:t>
        </w:r>
        <w:r w:rsidRPr="00CE07E0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424D2312" w14:textId="77777777" w:rsidR="00CE07E0" w:rsidRDefault="00CE0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8DED1" w14:textId="77777777" w:rsidR="00B6276F" w:rsidRDefault="00B6276F">
      <w:r>
        <w:separator/>
      </w:r>
    </w:p>
  </w:footnote>
  <w:footnote w:type="continuationSeparator" w:id="0">
    <w:p w14:paraId="157B5F0F" w14:textId="77777777" w:rsidR="00B6276F" w:rsidRDefault="00B6276F">
      <w:r>
        <w:continuationSeparator/>
      </w:r>
    </w:p>
  </w:footnote>
  <w:footnote w:id="1">
    <w:p w14:paraId="41288AAE" w14:textId="77777777" w:rsidR="00DD4352" w:rsidRPr="00B73C9E" w:rsidRDefault="00DD4352">
      <w:pPr>
        <w:pStyle w:val="FootnoteText"/>
        <w:rPr>
          <w:rFonts w:ascii="Arial" w:hAnsi="Arial" w:cs="Arial"/>
          <w:sz w:val="18"/>
          <w:szCs w:val="20"/>
          <w:lang w:val="en-GB"/>
        </w:rPr>
      </w:pPr>
      <w:r w:rsidRPr="00B73C9E">
        <w:rPr>
          <w:rStyle w:val="FootnoteReference"/>
          <w:rFonts w:ascii="Arial" w:hAnsi="Arial" w:cs="Arial"/>
          <w:sz w:val="18"/>
          <w:szCs w:val="20"/>
        </w:rPr>
        <w:footnoteRef/>
      </w:r>
      <w:r>
        <w:t xml:space="preserve"> </w:t>
      </w:r>
      <w:r w:rsidRPr="00B73C9E">
        <w:rPr>
          <w:rFonts w:ascii="Arial" w:hAnsi="Arial" w:cs="Arial"/>
          <w:sz w:val="18"/>
          <w:szCs w:val="20"/>
          <w:lang w:val="en-GB"/>
        </w:rPr>
        <w:t>In comparison with Goodyear MS II tyres.</w:t>
      </w:r>
    </w:p>
  </w:footnote>
  <w:footnote w:id="2">
    <w:p w14:paraId="4B5D017D" w14:textId="77777777" w:rsidR="00C81DC3" w:rsidRPr="008B16BE" w:rsidRDefault="00C81DC3">
      <w:pPr>
        <w:pStyle w:val="FootnoteText"/>
        <w:rPr>
          <w:rFonts w:ascii="Arial" w:hAnsi="Arial" w:cs="Arial"/>
          <w:sz w:val="20"/>
          <w:szCs w:val="20"/>
          <w:lang w:val="en-GB"/>
        </w:rPr>
      </w:pPr>
      <w:r w:rsidRPr="00740A72">
        <w:rPr>
          <w:rStyle w:val="FootnoteReference"/>
          <w:rFonts w:ascii="Arial" w:hAnsi="Arial" w:cs="Arial"/>
          <w:sz w:val="18"/>
          <w:szCs w:val="20"/>
        </w:rPr>
        <w:footnoteRef/>
      </w:r>
      <w:r w:rsidR="001762E6">
        <w:rPr>
          <w:rFonts w:ascii="Arial" w:hAnsi="Arial" w:cs="Arial"/>
          <w:sz w:val="18"/>
          <w:szCs w:val="20"/>
        </w:rPr>
        <w:t xml:space="preserve"> </w:t>
      </w:r>
      <w:r w:rsidR="00A63F30">
        <w:rPr>
          <w:rFonts w:ascii="Arial" w:hAnsi="Arial" w:cs="Arial"/>
          <w:sz w:val="18"/>
          <w:szCs w:val="20"/>
          <w:lang w:val="en-GB"/>
        </w:rPr>
        <w:t xml:space="preserve">Detailed conditions of the </w:t>
      </w:r>
      <w:r w:rsidR="00A63F30" w:rsidRPr="00A63F30">
        <w:rPr>
          <w:rFonts w:ascii="Arial" w:hAnsi="Arial" w:cs="Arial"/>
          <w:sz w:val="18"/>
          <w:szCs w:val="20"/>
          <w:lang w:val="en-GB"/>
        </w:rPr>
        <w:t>accidental damage guarantee</w:t>
      </w:r>
      <w:r w:rsidR="00A63F30">
        <w:rPr>
          <w:rFonts w:ascii="Arial" w:hAnsi="Arial" w:cs="Arial"/>
          <w:sz w:val="18"/>
          <w:szCs w:val="20"/>
          <w:lang w:val="en-GB"/>
        </w:rPr>
        <w:t xml:space="preserve"> are defined in</w:t>
      </w:r>
      <w:r w:rsidR="00A63F30" w:rsidRPr="00A63F30">
        <w:rPr>
          <w:rFonts w:ascii="Arial" w:hAnsi="Arial" w:cs="Arial"/>
          <w:sz w:val="18"/>
          <w:szCs w:val="20"/>
          <w:lang w:val="en-GB"/>
        </w:rPr>
        <w:t xml:space="preserve"> the Terms and Conditions of the </w:t>
      </w:r>
      <w:r w:rsidR="001762E6">
        <w:rPr>
          <w:rFonts w:ascii="Arial" w:hAnsi="Arial" w:cs="Arial"/>
          <w:sz w:val="18"/>
          <w:szCs w:val="20"/>
          <w:lang w:val="en-GB"/>
        </w:rPr>
        <w:t>“</w:t>
      </w:r>
      <w:r w:rsidR="00A63F30" w:rsidRPr="00A63F30">
        <w:rPr>
          <w:rFonts w:ascii="Arial" w:hAnsi="Arial" w:cs="Arial"/>
          <w:sz w:val="18"/>
          <w:szCs w:val="20"/>
          <w:lang w:val="en-GB"/>
        </w:rPr>
        <w:t xml:space="preserve">OMNITRAC Guarantee” campaign published </w:t>
      </w:r>
      <w:r w:rsidR="005612ED">
        <w:rPr>
          <w:rFonts w:ascii="Arial" w:hAnsi="Arial" w:cs="Arial"/>
          <w:sz w:val="18"/>
          <w:szCs w:val="20"/>
          <w:lang w:val="en-GB"/>
        </w:rPr>
        <w:t>at</w:t>
      </w:r>
      <w:r w:rsidR="00A63F30" w:rsidRPr="00A63F30">
        <w:rPr>
          <w:rFonts w:ascii="Arial" w:hAnsi="Arial" w:cs="Arial"/>
          <w:sz w:val="18"/>
          <w:szCs w:val="20"/>
          <w:lang w:val="en-GB"/>
        </w:rPr>
        <w:t xml:space="preserve"> www.mygoodyear.eu</w:t>
      </w:r>
      <w:r w:rsidR="005612ED">
        <w:rPr>
          <w:rFonts w:ascii="Arial" w:hAnsi="Arial" w:cs="Arial"/>
          <w:sz w:val="18"/>
          <w:szCs w:val="20"/>
          <w:lang w:val="en-GB"/>
        </w:rPr>
        <w:t>/omnitrac</w:t>
      </w:r>
      <w:r w:rsidRPr="00740A72">
        <w:rPr>
          <w:rFonts w:ascii="Arial" w:hAnsi="Arial" w:cs="Arial"/>
          <w:sz w:val="18"/>
          <w:szCs w:val="20"/>
          <w:lang w:val="en-GB"/>
        </w:rPr>
        <w:t>.</w:t>
      </w:r>
    </w:p>
  </w:footnote>
  <w:footnote w:id="3">
    <w:p w14:paraId="4A0EEECD" w14:textId="77777777" w:rsidR="00740A72" w:rsidRPr="00740A72" w:rsidRDefault="00740A72">
      <w:pPr>
        <w:pStyle w:val="FootnoteText"/>
        <w:rPr>
          <w:rFonts w:ascii="Arial" w:hAnsi="Arial" w:cs="Arial"/>
        </w:rPr>
      </w:pPr>
      <w:bookmarkStart w:id="1" w:name="_Hlk529536617"/>
      <w:r w:rsidRPr="00740A72">
        <w:rPr>
          <w:rStyle w:val="FootnoteReference"/>
          <w:rFonts w:ascii="Arial" w:hAnsi="Arial" w:cs="Arial"/>
          <w:sz w:val="18"/>
        </w:rPr>
        <w:footnoteRef/>
      </w:r>
      <w:r w:rsidRPr="00740A72">
        <w:rPr>
          <w:rFonts w:ascii="Arial" w:hAnsi="Arial" w:cs="Arial"/>
          <w:sz w:val="18"/>
        </w:rPr>
        <w:t xml:space="preserve"> </w:t>
      </w:r>
      <w:r w:rsidR="00A63F30">
        <w:rPr>
          <w:rFonts w:ascii="Arial" w:hAnsi="Arial" w:cs="Arial"/>
          <w:sz w:val="18"/>
          <w:szCs w:val="20"/>
          <w:lang w:val="en-GB"/>
        </w:rPr>
        <w:t xml:space="preserve">Detailed conditions of the </w:t>
      </w:r>
      <w:r w:rsidR="00A63F30" w:rsidRPr="00A63F30">
        <w:rPr>
          <w:rFonts w:ascii="Arial" w:hAnsi="Arial" w:cs="Arial"/>
          <w:sz w:val="18"/>
          <w:szCs w:val="20"/>
          <w:lang w:val="en-GB"/>
        </w:rPr>
        <w:t>additional 100% casing acceptance guarantee</w:t>
      </w:r>
      <w:r w:rsidR="00A63F30">
        <w:rPr>
          <w:rFonts w:ascii="Arial" w:hAnsi="Arial" w:cs="Arial"/>
          <w:sz w:val="18"/>
          <w:szCs w:val="20"/>
          <w:lang w:val="en-GB"/>
        </w:rPr>
        <w:t xml:space="preserve"> are defined in</w:t>
      </w:r>
      <w:r w:rsidR="00A63F30" w:rsidRPr="00A63F30">
        <w:rPr>
          <w:rFonts w:ascii="Arial" w:hAnsi="Arial" w:cs="Arial"/>
          <w:sz w:val="18"/>
          <w:szCs w:val="20"/>
          <w:lang w:val="en-GB"/>
        </w:rPr>
        <w:t xml:space="preserve"> the Terms and Conditions of the </w:t>
      </w:r>
      <w:r w:rsidR="001762E6">
        <w:rPr>
          <w:rFonts w:ascii="Arial" w:hAnsi="Arial" w:cs="Arial"/>
          <w:sz w:val="18"/>
          <w:szCs w:val="20"/>
          <w:lang w:val="en-GB"/>
        </w:rPr>
        <w:t>“</w:t>
      </w:r>
      <w:r w:rsidR="00A63F30" w:rsidRPr="00A63F30">
        <w:rPr>
          <w:rFonts w:ascii="Arial" w:hAnsi="Arial" w:cs="Arial"/>
          <w:sz w:val="18"/>
          <w:szCs w:val="20"/>
          <w:lang w:val="en-GB"/>
        </w:rPr>
        <w:t>OMNITRAC</w:t>
      </w:r>
      <w:r w:rsidR="00AE2D3E">
        <w:rPr>
          <w:rFonts w:ascii="Arial" w:hAnsi="Arial" w:cs="Arial"/>
          <w:sz w:val="18"/>
          <w:szCs w:val="20"/>
          <w:lang w:val="en-GB"/>
        </w:rPr>
        <w:t xml:space="preserve"> </w:t>
      </w:r>
      <w:r w:rsidR="00A63F30" w:rsidRPr="00A63F30">
        <w:rPr>
          <w:rFonts w:ascii="Arial" w:hAnsi="Arial" w:cs="Arial"/>
          <w:sz w:val="18"/>
          <w:szCs w:val="20"/>
          <w:lang w:val="en-GB"/>
        </w:rPr>
        <w:t>Guarantee” campaign published at www.mygoodyear.eu</w:t>
      </w:r>
      <w:r w:rsidR="005612ED">
        <w:rPr>
          <w:rFonts w:ascii="Arial" w:hAnsi="Arial" w:cs="Arial"/>
          <w:sz w:val="18"/>
          <w:szCs w:val="20"/>
          <w:lang w:val="en-GB"/>
        </w:rPr>
        <w:t>/omnitrac</w:t>
      </w:r>
      <w:r w:rsidR="00A63F30" w:rsidRPr="00A63F30">
        <w:rPr>
          <w:rFonts w:ascii="Arial" w:hAnsi="Arial" w:cs="Arial"/>
          <w:sz w:val="18"/>
          <w:szCs w:val="20"/>
          <w:lang w:val="en-GB"/>
        </w:rPr>
        <w:t xml:space="preserve"> portal</w:t>
      </w:r>
      <w:r w:rsidR="007D489F">
        <w:rPr>
          <w:rFonts w:ascii="Arial" w:hAnsi="Arial" w:cs="Arial"/>
          <w:sz w:val="18"/>
        </w:rPr>
        <w:t xml:space="preserve">. </w:t>
      </w:r>
      <w:r w:rsidR="00A63F30">
        <w:rPr>
          <w:rFonts w:ascii="Arial" w:hAnsi="Arial" w:cs="Arial"/>
          <w:sz w:val="18"/>
        </w:rPr>
        <w:t xml:space="preserve">The </w:t>
      </w:r>
      <w:r w:rsidR="00A63F30" w:rsidRPr="00A63F30">
        <w:rPr>
          <w:rFonts w:ascii="Arial" w:hAnsi="Arial" w:cs="Arial"/>
          <w:sz w:val="18"/>
        </w:rPr>
        <w:t>additional 100% casing acceptance guarantee</w:t>
      </w:r>
      <w:r w:rsidR="00A63F30">
        <w:rPr>
          <w:rFonts w:ascii="Arial" w:hAnsi="Arial" w:cs="Arial"/>
          <w:sz w:val="18"/>
        </w:rPr>
        <w:t xml:space="preserve"> i</w:t>
      </w:r>
      <w:r w:rsidR="00EC75CC">
        <w:rPr>
          <w:rFonts w:ascii="Arial" w:hAnsi="Arial" w:cs="Arial"/>
          <w:sz w:val="18"/>
        </w:rPr>
        <w:t>s</w:t>
      </w:r>
      <w:r w:rsidR="00A63F30">
        <w:rPr>
          <w:rFonts w:ascii="Arial" w:hAnsi="Arial" w:cs="Arial"/>
          <w:sz w:val="18"/>
        </w:rPr>
        <w:t xml:space="preserve"> available only</w:t>
      </w:r>
      <w:r w:rsidRPr="00740A72">
        <w:rPr>
          <w:rFonts w:ascii="Arial" w:hAnsi="Arial" w:cs="Arial"/>
          <w:sz w:val="18"/>
        </w:rPr>
        <w:t xml:space="preserve"> in countries where Goodyear offers the </w:t>
      </w:r>
      <w:r w:rsidR="001762E6">
        <w:rPr>
          <w:rFonts w:ascii="Arial" w:hAnsi="Arial" w:cs="Arial"/>
          <w:sz w:val="18"/>
        </w:rPr>
        <w:t>“C</w:t>
      </w:r>
      <w:r w:rsidRPr="00740A72">
        <w:rPr>
          <w:rFonts w:ascii="Arial" w:hAnsi="Arial" w:cs="Arial"/>
          <w:sz w:val="18"/>
        </w:rPr>
        <w:t>ustomer</w:t>
      </w:r>
      <w:r w:rsidR="00A63F30">
        <w:rPr>
          <w:rFonts w:ascii="Arial" w:hAnsi="Arial" w:cs="Arial"/>
          <w:sz w:val="18"/>
        </w:rPr>
        <w:t>s</w:t>
      </w:r>
      <w:r w:rsidRPr="00740A72">
        <w:rPr>
          <w:rFonts w:ascii="Arial" w:hAnsi="Arial" w:cs="Arial"/>
          <w:sz w:val="18"/>
        </w:rPr>
        <w:t xml:space="preserve"> Own </w:t>
      </w:r>
      <w:r w:rsidR="00CA7998">
        <w:rPr>
          <w:rFonts w:ascii="Arial" w:hAnsi="Arial" w:cs="Arial"/>
          <w:sz w:val="18"/>
        </w:rPr>
        <w:t>C</w:t>
      </w:r>
      <w:r w:rsidRPr="00740A72">
        <w:rPr>
          <w:rFonts w:ascii="Arial" w:hAnsi="Arial" w:cs="Arial"/>
          <w:sz w:val="18"/>
        </w:rPr>
        <w:t>asing</w:t>
      </w:r>
      <w:r w:rsidR="00A63F30">
        <w:rPr>
          <w:rFonts w:ascii="Arial" w:hAnsi="Arial" w:cs="Arial"/>
          <w:sz w:val="18"/>
        </w:rPr>
        <w:t>”</w:t>
      </w:r>
      <w:r w:rsidRPr="00740A72">
        <w:rPr>
          <w:rFonts w:ascii="Arial" w:hAnsi="Arial" w:cs="Arial"/>
          <w:sz w:val="18"/>
        </w:rPr>
        <w:t xml:space="preserve"> model for retreaded tires</w:t>
      </w:r>
      <w:bookmarkEnd w:id="1"/>
      <w:r w:rsidR="00A63F30">
        <w:rPr>
          <w:rFonts w:ascii="Arial" w:hAnsi="Arial" w:cs="Arial"/>
          <w:sz w:val="18"/>
        </w:rPr>
        <w:t>.</w:t>
      </w:r>
    </w:p>
  </w:footnote>
  <w:footnote w:id="4">
    <w:p w14:paraId="39EC18DF" w14:textId="77777777" w:rsidR="004A1FC4" w:rsidRPr="003B32E1" w:rsidRDefault="004A1FC4">
      <w:pPr>
        <w:pStyle w:val="FootnoteText"/>
        <w:rPr>
          <w:rFonts w:ascii="Arial" w:hAnsi="Arial" w:cs="Arial"/>
          <w:color w:val="000000"/>
          <w:sz w:val="18"/>
          <w:szCs w:val="18"/>
          <w:lang w:eastAsia="en-GB"/>
        </w:rPr>
      </w:pPr>
      <w:r w:rsidRPr="003B32E1">
        <w:rPr>
          <w:rStyle w:val="FootnoteReference"/>
          <w:rFonts w:ascii="Arial" w:hAnsi="Arial" w:cs="Arial"/>
          <w:sz w:val="18"/>
          <w:szCs w:val="18"/>
        </w:rPr>
        <w:footnoteRef/>
      </w:r>
      <w:r w:rsidRPr="003B32E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B32E1">
        <w:rPr>
          <w:rFonts w:ascii="Arial" w:hAnsi="Arial" w:cs="Arial"/>
          <w:color w:val="000000"/>
          <w:sz w:val="18"/>
          <w:szCs w:val="18"/>
          <w:lang w:eastAsia="en-GB"/>
        </w:rPr>
        <w:t>DuraShield</w:t>
      </w:r>
      <w:proofErr w:type="spellEnd"/>
      <w:r w:rsidRPr="003B32E1">
        <w:rPr>
          <w:rFonts w:ascii="Arial" w:hAnsi="Arial" w:cs="Arial"/>
          <w:color w:val="000000"/>
          <w:sz w:val="18"/>
          <w:szCs w:val="18"/>
          <w:lang w:eastAsia="en-GB"/>
        </w:rPr>
        <w:t xml:space="preserve"> technology is not available in this size.</w:t>
      </w:r>
    </w:p>
  </w:footnote>
  <w:footnote w:id="5">
    <w:p w14:paraId="3182FA28" w14:textId="77777777" w:rsidR="00041CF3" w:rsidRPr="009527E4" w:rsidRDefault="00041CF3">
      <w:pPr>
        <w:pStyle w:val="FootnoteText"/>
        <w:rPr>
          <w:rFonts w:ascii="Arial" w:hAnsi="Arial" w:cs="Arial"/>
          <w:color w:val="000000"/>
          <w:sz w:val="18"/>
          <w:szCs w:val="18"/>
          <w:lang w:eastAsia="en-GB"/>
        </w:rPr>
      </w:pPr>
      <w:r w:rsidRPr="003B32E1">
        <w:rPr>
          <w:rStyle w:val="FootnoteReference"/>
          <w:rFonts w:ascii="Arial" w:hAnsi="Arial" w:cs="Arial"/>
          <w:sz w:val="18"/>
          <w:szCs w:val="18"/>
        </w:rPr>
        <w:footnoteRef/>
      </w:r>
      <w:r w:rsidRPr="003B32E1">
        <w:rPr>
          <w:rFonts w:ascii="Arial" w:hAnsi="Arial" w:cs="Arial"/>
          <w:sz w:val="18"/>
          <w:szCs w:val="18"/>
        </w:rPr>
        <w:t xml:space="preserve"> </w:t>
      </w:r>
      <w:r w:rsidRPr="003B32E1">
        <w:rPr>
          <w:rFonts w:ascii="Arial" w:hAnsi="Arial" w:cs="Arial"/>
          <w:color w:val="000000"/>
          <w:sz w:val="18"/>
          <w:szCs w:val="18"/>
          <w:lang w:eastAsia="en-GB"/>
        </w:rPr>
        <w:t xml:space="preserve">The OMNITRAC S 24” is an all-position </w:t>
      </w:r>
      <w:proofErr w:type="spellStart"/>
      <w:r w:rsidRPr="003B32E1">
        <w:rPr>
          <w:rFonts w:ascii="Arial" w:hAnsi="Arial" w:cs="Arial"/>
          <w:color w:val="000000"/>
          <w:sz w:val="18"/>
          <w:szCs w:val="18"/>
          <w:lang w:eastAsia="en-GB"/>
        </w:rPr>
        <w:t>tyre</w:t>
      </w:r>
      <w:proofErr w:type="spellEnd"/>
      <w:r w:rsidRPr="003B32E1">
        <w:rPr>
          <w:rFonts w:ascii="Arial" w:hAnsi="Arial" w:cs="Arial"/>
          <w:color w:val="000000"/>
          <w:sz w:val="18"/>
          <w:szCs w:val="18"/>
          <w:lang w:eastAsia="en-GB"/>
        </w:rPr>
        <w:t xml:space="preserve"> specifically for countries in the Middle East and Africa.</w:t>
      </w:r>
      <w:r w:rsidR="003B32E1" w:rsidRPr="003B32E1">
        <w:rPr>
          <w:rFonts w:ascii="Arial" w:hAnsi="Arial" w:cs="Arial"/>
          <w:color w:val="000000"/>
          <w:sz w:val="18"/>
          <w:szCs w:val="18"/>
          <w:lang w:eastAsia="en-GB"/>
        </w:rPr>
        <w:t xml:space="preserve"> The RFID technology is currently</w:t>
      </w:r>
      <w:r w:rsidR="003B32E1" w:rsidRPr="00B768E9">
        <w:rPr>
          <w:rFonts w:ascii="Arial" w:hAnsi="Arial" w:cs="Arial"/>
          <w:color w:val="000000"/>
          <w:sz w:val="18"/>
          <w:szCs w:val="18"/>
          <w:lang w:eastAsia="en-GB"/>
        </w:rPr>
        <w:t xml:space="preserve"> not available in this size</w:t>
      </w:r>
      <w:r w:rsidR="00B768E9">
        <w:rPr>
          <w:rFonts w:ascii="Arial" w:hAnsi="Arial" w:cs="Arial"/>
          <w:color w:val="000000"/>
          <w:sz w:val="18"/>
          <w:szCs w:val="18"/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73BC6" w14:textId="51A4E485" w:rsidR="00C75B1D" w:rsidRDefault="00C80912">
    <w:pPr>
      <w:pStyle w:val="Header"/>
    </w:pPr>
    <w:r>
      <w:rPr>
        <w:noProof/>
        <w:lang w:val="en-GB" w:eastAsia="en-GB"/>
      </w:rPr>
      <w:drawing>
        <wp:inline distT="0" distB="0" distL="0" distR="9525" wp14:anchorId="177C805C" wp14:editId="1E55158D">
          <wp:extent cx="1952625" cy="40005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DF9F14" w14:textId="77777777" w:rsidR="00132A73" w:rsidRDefault="00132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787A"/>
    <w:multiLevelType w:val="hybridMultilevel"/>
    <w:tmpl w:val="B57616E0"/>
    <w:lvl w:ilvl="0" w:tplc="FAE26E3A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5E52"/>
    <w:multiLevelType w:val="hybridMultilevel"/>
    <w:tmpl w:val="8B00257A"/>
    <w:lvl w:ilvl="0" w:tplc="FAE26E3A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C1EE2"/>
    <w:multiLevelType w:val="hybridMultilevel"/>
    <w:tmpl w:val="DE54E6F4"/>
    <w:lvl w:ilvl="0" w:tplc="B5DC3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29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88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CA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E3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66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64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86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65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5D275D"/>
    <w:multiLevelType w:val="hybridMultilevel"/>
    <w:tmpl w:val="B2F61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01D22"/>
    <w:multiLevelType w:val="hybridMultilevel"/>
    <w:tmpl w:val="1BE0D3F6"/>
    <w:lvl w:ilvl="0" w:tplc="FAE26E3A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464B6"/>
    <w:multiLevelType w:val="hybridMultilevel"/>
    <w:tmpl w:val="B5EE1C86"/>
    <w:lvl w:ilvl="0" w:tplc="FAE26E3A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57501"/>
    <w:multiLevelType w:val="hybridMultilevel"/>
    <w:tmpl w:val="F30CB904"/>
    <w:lvl w:ilvl="0" w:tplc="FAE26E3A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93589"/>
    <w:multiLevelType w:val="hybridMultilevel"/>
    <w:tmpl w:val="23DC18F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E214F1"/>
    <w:multiLevelType w:val="hybridMultilevel"/>
    <w:tmpl w:val="38CC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1D"/>
    <w:rsid w:val="00040178"/>
    <w:rsid w:val="00041CF3"/>
    <w:rsid w:val="00066265"/>
    <w:rsid w:val="000817F0"/>
    <w:rsid w:val="00093739"/>
    <w:rsid w:val="000A2344"/>
    <w:rsid w:val="000B141A"/>
    <w:rsid w:val="000B1C5E"/>
    <w:rsid w:val="000D44EB"/>
    <w:rsid w:val="000D4766"/>
    <w:rsid w:val="000F3CB6"/>
    <w:rsid w:val="00106394"/>
    <w:rsid w:val="00107CD4"/>
    <w:rsid w:val="00111045"/>
    <w:rsid w:val="00115B5D"/>
    <w:rsid w:val="00132A73"/>
    <w:rsid w:val="00133D94"/>
    <w:rsid w:val="00147FB5"/>
    <w:rsid w:val="00155B62"/>
    <w:rsid w:val="00157044"/>
    <w:rsid w:val="00157BB8"/>
    <w:rsid w:val="00164D24"/>
    <w:rsid w:val="001706B2"/>
    <w:rsid w:val="001762E6"/>
    <w:rsid w:val="001A7343"/>
    <w:rsid w:val="001B2A44"/>
    <w:rsid w:val="001E678B"/>
    <w:rsid w:val="001F795D"/>
    <w:rsid w:val="0024023C"/>
    <w:rsid w:val="002428C4"/>
    <w:rsid w:val="002443FF"/>
    <w:rsid w:val="002520B4"/>
    <w:rsid w:val="00253329"/>
    <w:rsid w:val="002559BE"/>
    <w:rsid w:val="00277CAA"/>
    <w:rsid w:val="00283FF1"/>
    <w:rsid w:val="002D39E2"/>
    <w:rsid w:val="00322E75"/>
    <w:rsid w:val="003377F4"/>
    <w:rsid w:val="00372684"/>
    <w:rsid w:val="00393213"/>
    <w:rsid w:val="003B32E1"/>
    <w:rsid w:val="003D0821"/>
    <w:rsid w:val="003D6283"/>
    <w:rsid w:val="003E11C1"/>
    <w:rsid w:val="00407950"/>
    <w:rsid w:val="00412E0D"/>
    <w:rsid w:val="00423D52"/>
    <w:rsid w:val="00446624"/>
    <w:rsid w:val="00452DA9"/>
    <w:rsid w:val="00492754"/>
    <w:rsid w:val="004931FB"/>
    <w:rsid w:val="004A1FC4"/>
    <w:rsid w:val="004A6EA1"/>
    <w:rsid w:val="004B7829"/>
    <w:rsid w:val="004C37FE"/>
    <w:rsid w:val="004C3981"/>
    <w:rsid w:val="004D13A6"/>
    <w:rsid w:val="004E0F36"/>
    <w:rsid w:val="004E51FE"/>
    <w:rsid w:val="004E7529"/>
    <w:rsid w:val="004F4A5E"/>
    <w:rsid w:val="0050499B"/>
    <w:rsid w:val="0051343B"/>
    <w:rsid w:val="005222F3"/>
    <w:rsid w:val="00550489"/>
    <w:rsid w:val="005505BD"/>
    <w:rsid w:val="00556F48"/>
    <w:rsid w:val="005605AC"/>
    <w:rsid w:val="00560D3C"/>
    <w:rsid w:val="005612ED"/>
    <w:rsid w:val="00574D1A"/>
    <w:rsid w:val="00575308"/>
    <w:rsid w:val="00575F87"/>
    <w:rsid w:val="005C77DD"/>
    <w:rsid w:val="005E1688"/>
    <w:rsid w:val="005F1C51"/>
    <w:rsid w:val="00602448"/>
    <w:rsid w:val="00612EFD"/>
    <w:rsid w:val="00617242"/>
    <w:rsid w:val="00625499"/>
    <w:rsid w:val="00646A1F"/>
    <w:rsid w:val="00647987"/>
    <w:rsid w:val="006766DA"/>
    <w:rsid w:val="006A31C8"/>
    <w:rsid w:val="006A5DBA"/>
    <w:rsid w:val="006A6B09"/>
    <w:rsid w:val="006B29DB"/>
    <w:rsid w:val="006B2A58"/>
    <w:rsid w:val="006E3050"/>
    <w:rsid w:val="006E52D9"/>
    <w:rsid w:val="00714C35"/>
    <w:rsid w:val="00727512"/>
    <w:rsid w:val="00740A72"/>
    <w:rsid w:val="00740EB7"/>
    <w:rsid w:val="00746C12"/>
    <w:rsid w:val="0075298C"/>
    <w:rsid w:val="00756E12"/>
    <w:rsid w:val="00760CDC"/>
    <w:rsid w:val="00761369"/>
    <w:rsid w:val="00761FD9"/>
    <w:rsid w:val="00773B9F"/>
    <w:rsid w:val="00776431"/>
    <w:rsid w:val="007845F0"/>
    <w:rsid w:val="00787071"/>
    <w:rsid w:val="007A4F98"/>
    <w:rsid w:val="007B506A"/>
    <w:rsid w:val="007B70F2"/>
    <w:rsid w:val="007D489F"/>
    <w:rsid w:val="007F24B1"/>
    <w:rsid w:val="00802C5B"/>
    <w:rsid w:val="00807AE1"/>
    <w:rsid w:val="00815509"/>
    <w:rsid w:val="00820A70"/>
    <w:rsid w:val="0083112A"/>
    <w:rsid w:val="008422C4"/>
    <w:rsid w:val="00863BC0"/>
    <w:rsid w:val="00873D73"/>
    <w:rsid w:val="008822B2"/>
    <w:rsid w:val="008876E9"/>
    <w:rsid w:val="00896CE5"/>
    <w:rsid w:val="008B16BE"/>
    <w:rsid w:val="008B1D49"/>
    <w:rsid w:val="008C1DA0"/>
    <w:rsid w:val="008F136D"/>
    <w:rsid w:val="008F1E6A"/>
    <w:rsid w:val="008F3330"/>
    <w:rsid w:val="008F7918"/>
    <w:rsid w:val="009119BA"/>
    <w:rsid w:val="00925C4F"/>
    <w:rsid w:val="00930E95"/>
    <w:rsid w:val="00934A64"/>
    <w:rsid w:val="009426D3"/>
    <w:rsid w:val="009527E4"/>
    <w:rsid w:val="0097029D"/>
    <w:rsid w:val="009737AE"/>
    <w:rsid w:val="00977CDA"/>
    <w:rsid w:val="00982885"/>
    <w:rsid w:val="009A0661"/>
    <w:rsid w:val="009C35C3"/>
    <w:rsid w:val="009C5D3E"/>
    <w:rsid w:val="009F080C"/>
    <w:rsid w:val="00A05BFF"/>
    <w:rsid w:val="00A12EC9"/>
    <w:rsid w:val="00A32D58"/>
    <w:rsid w:val="00A4295D"/>
    <w:rsid w:val="00A474AC"/>
    <w:rsid w:val="00A5095E"/>
    <w:rsid w:val="00A5352A"/>
    <w:rsid w:val="00A55125"/>
    <w:rsid w:val="00A55BD3"/>
    <w:rsid w:val="00A62720"/>
    <w:rsid w:val="00A63F30"/>
    <w:rsid w:val="00A66093"/>
    <w:rsid w:val="00A830AC"/>
    <w:rsid w:val="00A91645"/>
    <w:rsid w:val="00AB4C15"/>
    <w:rsid w:val="00AC038F"/>
    <w:rsid w:val="00AC4EBE"/>
    <w:rsid w:val="00AD7504"/>
    <w:rsid w:val="00AE2D3E"/>
    <w:rsid w:val="00AF7C8D"/>
    <w:rsid w:val="00B21A4C"/>
    <w:rsid w:val="00B311AF"/>
    <w:rsid w:val="00B33C7A"/>
    <w:rsid w:val="00B552AA"/>
    <w:rsid w:val="00B6276F"/>
    <w:rsid w:val="00B64E08"/>
    <w:rsid w:val="00B73C9E"/>
    <w:rsid w:val="00B768E9"/>
    <w:rsid w:val="00B808D3"/>
    <w:rsid w:val="00B80D5C"/>
    <w:rsid w:val="00B84023"/>
    <w:rsid w:val="00B9172B"/>
    <w:rsid w:val="00BA2BAA"/>
    <w:rsid w:val="00BA59FE"/>
    <w:rsid w:val="00BB727C"/>
    <w:rsid w:val="00BD39F3"/>
    <w:rsid w:val="00BD7E3F"/>
    <w:rsid w:val="00C1699D"/>
    <w:rsid w:val="00C2612D"/>
    <w:rsid w:val="00C75B1D"/>
    <w:rsid w:val="00C80912"/>
    <w:rsid w:val="00C81DC3"/>
    <w:rsid w:val="00C8793D"/>
    <w:rsid w:val="00C9556D"/>
    <w:rsid w:val="00CA3C60"/>
    <w:rsid w:val="00CA7998"/>
    <w:rsid w:val="00CC7466"/>
    <w:rsid w:val="00CD21D1"/>
    <w:rsid w:val="00CD7B34"/>
    <w:rsid w:val="00CE07E0"/>
    <w:rsid w:val="00D04C0A"/>
    <w:rsid w:val="00D15D03"/>
    <w:rsid w:val="00D51209"/>
    <w:rsid w:val="00D52254"/>
    <w:rsid w:val="00D5611A"/>
    <w:rsid w:val="00D67525"/>
    <w:rsid w:val="00D946BD"/>
    <w:rsid w:val="00D97FA0"/>
    <w:rsid w:val="00DC0031"/>
    <w:rsid w:val="00DD09F9"/>
    <w:rsid w:val="00DD0AD2"/>
    <w:rsid w:val="00DD4352"/>
    <w:rsid w:val="00DD6FFC"/>
    <w:rsid w:val="00DE020A"/>
    <w:rsid w:val="00E0151C"/>
    <w:rsid w:val="00E126A4"/>
    <w:rsid w:val="00E14B9F"/>
    <w:rsid w:val="00E1710E"/>
    <w:rsid w:val="00E42CB5"/>
    <w:rsid w:val="00E477FF"/>
    <w:rsid w:val="00E56EAA"/>
    <w:rsid w:val="00E60C95"/>
    <w:rsid w:val="00E616C6"/>
    <w:rsid w:val="00E62EC3"/>
    <w:rsid w:val="00E63BCF"/>
    <w:rsid w:val="00E65257"/>
    <w:rsid w:val="00E6623A"/>
    <w:rsid w:val="00E77051"/>
    <w:rsid w:val="00E809E7"/>
    <w:rsid w:val="00E81758"/>
    <w:rsid w:val="00E844E9"/>
    <w:rsid w:val="00E86E9D"/>
    <w:rsid w:val="00EC126E"/>
    <w:rsid w:val="00EC75CC"/>
    <w:rsid w:val="00ED4929"/>
    <w:rsid w:val="00EE6B3A"/>
    <w:rsid w:val="00EF3D4C"/>
    <w:rsid w:val="00F06820"/>
    <w:rsid w:val="00F20563"/>
    <w:rsid w:val="00F31D55"/>
    <w:rsid w:val="00F37906"/>
    <w:rsid w:val="00F6133C"/>
    <w:rsid w:val="00F71CE3"/>
    <w:rsid w:val="00F90004"/>
    <w:rsid w:val="00F920E7"/>
    <w:rsid w:val="00FD138C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5D3FA"/>
  <w15:docId w15:val="{5CC64D98-34E8-4132-A804-27013543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60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0607"/>
  </w:style>
  <w:style w:type="character" w:customStyle="1" w:styleId="FooterChar">
    <w:name w:val="Footer Char"/>
    <w:basedOn w:val="DefaultParagraphFont"/>
    <w:link w:val="Footer"/>
    <w:uiPriority w:val="99"/>
    <w:qFormat/>
    <w:rsid w:val="001A0607"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114CAA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14CAA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0275A"/>
    <w:rPr>
      <w:rFonts w:ascii="Tahoma" w:eastAsia="Times New Roman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qFormat/>
    <w:rsid w:val="00CA6C60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Internetovodkaz">
    <w:name w:val="Internetový odkaz"/>
    <w:basedOn w:val="DefaultParagraphFont"/>
    <w:uiPriority w:val="99"/>
    <w:unhideWhenUsed/>
    <w:rsid w:val="00C56C02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2B367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2B367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2B367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EA77C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C0630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0630D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1A060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0607"/>
    <w:pPr>
      <w:tabs>
        <w:tab w:val="center" w:pos="4680"/>
        <w:tab w:val="right" w:pos="9360"/>
      </w:tabs>
    </w:pPr>
  </w:style>
  <w:style w:type="paragraph" w:customStyle="1" w:styleId="Default">
    <w:name w:val="Default"/>
    <w:qFormat/>
    <w:rsid w:val="001A0607"/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114CAA"/>
    <w:pPr>
      <w:spacing w:beforeAutospacing="1" w:afterAutospacing="1"/>
    </w:pPr>
    <w:rPr>
      <w:lang w:val="en-GB" w:eastAsia="en-GB"/>
    </w:rPr>
  </w:style>
  <w:style w:type="paragraph" w:styleId="FootnoteText">
    <w:name w:val="footnote text"/>
    <w:basedOn w:val="Normal"/>
    <w:link w:val="FootnoteTextChar"/>
  </w:style>
  <w:style w:type="paragraph" w:styleId="ListParagraph">
    <w:name w:val="List Paragraph"/>
    <w:basedOn w:val="Normal"/>
    <w:uiPriority w:val="34"/>
    <w:qFormat/>
    <w:rsid w:val="00114C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0275A"/>
    <w:rPr>
      <w:rFonts w:ascii="Tahoma" w:hAnsi="Tahoma" w:cs="Tahoma"/>
      <w:sz w:val="16"/>
      <w:szCs w:val="16"/>
    </w:rPr>
  </w:style>
  <w:style w:type="paragraph" w:customStyle="1" w:styleId="PRSubtitle">
    <w:name w:val="PR Subtitle"/>
    <w:basedOn w:val="Normal"/>
    <w:uiPriority w:val="99"/>
    <w:qFormat/>
    <w:rsid w:val="00CA6C60"/>
    <w:pPr>
      <w:keepNext/>
      <w:spacing w:before="240" w:after="60"/>
      <w:outlineLvl w:val="0"/>
    </w:pPr>
    <w:rPr>
      <w:rFonts w:ascii="Arial" w:hAnsi="Arial" w:cs="Arial"/>
      <w:bCs/>
      <w:i/>
      <w:sz w:val="28"/>
      <w:szCs w:val="32"/>
    </w:rPr>
  </w:style>
  <w:style w:type="paragraph" w:styleId="Title">
    <w:name w:val="Title"/>
    <w:basedOn w:val="Normal"/>
    <w:link w:val="TitleChar"/>
    <w:qFormat/>
    <w:rsid w:val="00CA6C60"/>
    <w:pPr>
      <w:jc w:val="center"/>
    </w:pPr>
    <w:rPr>
      <w:rFonts w:ascii="Arial" w:hAnsi="Arial" w:cs="Arial"/>
      <w:b/>
      <w:bCs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B367E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2B367E"/>
    <w:rPr>
      <w:b/>
      <w:bCs/>
    </w:rPr>
  </w:style>
  <w:style w:type="table" w:styleId="TableGrid">
    <w:name w:val="Table Grid"/>
    <w:basedOn w:val="TableNormal"/>
    <w:uiPriority w:val="59"/>
    <w:rsid w:val="009C516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Default"/>
    <w:next w:val="Default"/>
    <w:uiPriority w:val="99"/>
    <w:rsid w:val="00BB727C"/>
    <w:pPr>
      <w:autoSpaceDE w:val="0"/>
      <w:autoSpaceDN w:val="0"/>
      <w:adjustRightInd w:val="0"/>
      <w:spacing w:line="241" w:lineRule="atLeast"/>
    </w:pPr>
    <w:rPr>
      <w:rFonts w:ascii="EQCCO Y+ Helvetica Neue LT" w:eastAsiaTheme="minorHAnsi" w:hAnsi="EQCCO Y+ Helvetica Neue LT" w:cstheme="minorBidi"/>
      <w:color w:val="auto"/>
      <w:lang w:val="en-GB"/>
    </w:rPr>
  </w:style>
  <w:style w:type="character" w:customStyle="1" w:styleId="A2">
    <w:name w:val="A2"/>
    <w:uiPriority w:val="99"/>
    <w:rsid w:val="00BB727C"/>
    <w:rPr>
      <w:rFonts w:cs="EQCCO Y+ Helvetica Neue LT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896C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7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6DE8-BCA5-4E46-BA25-386D9F73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Cotronei</dc:creator>
  <cp:lastModifiedBy>Carola Cotronei</cp:lastModifiedBy>
  <cp:revision>3</cp:revision>
  <cp:lastPrinted>2018-11-15T06:53:00Z</cp:lastPrinted>
  <dcterms:created xsi:type="dcterms:W3CDTF">2018-11-15T12:24:00Z</dcterms:created>
  <dcterms:modified xsi:type="dcterms:W3CDTF">2018-11-15T12:34:00Z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